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9522D" w:rsidRPr="00070A27" w:rsidTr="005E26C2">
        <w:trPr>
          <w:trHeight w:hRule="exact" w:val="3114"/>
        </w:trPr>
        <w:tc>
          <w:tcPr>
            <w:tcW w:w="9462" w:type="dxa"/>
            <w:gridSpan w:val="4"/>
          </w:tcPr>
          <w:p w:rsidR="00A9522D" w:rsidRDefault="00A9522D" w:rsidP="005E26C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522D" w:rsidRDefault="00A9522D" w:rsidP="005E26C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9522D" w:rsidRDefault="00A9522D" w:rsidP="005E26C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9522D" w:rsidRPr="00070A27" w:rsidRDefault="00A9522D" w:rsidP="005E26C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A9522D" w:rsidRPr="00070A27" w:rsidRDefault="00A9522D" w:rsidP="005E26C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9522D" w:rsidRDefault="00A9522D" w:rsidP="005E26C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9522D" w:rsidRDefault="00A9522D" w:rsidP="005E26C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9522D" w:rsidRDefault="00A9522D" w:rsidP="005E26C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9522D" w:rsidRDefault="00A9522D" w:rsidP="005E26C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9522D" w:rsidRPr="00070A27" w:rsidRDefault="00A9522D" w:rsidP="005E26C2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9522D" w:rsidRPr="00070A27" w:rsidRDefault="00A9522D" w:rsidP="005E26C2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A9522D" w:rsidRPr="00BA7B5D" w:rsidTr="005E26C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9522D" w:rsidRPr="00BA7B5D" w:rsidRDefault="00D863D9" w:rsidP="005E26C2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10.03.2021</w:t>
            </w:r>
          </w:p>
        </w:tc>
        <w:tc>
          <w:tcPr>
            <w:tcW w:w="2849" w:type="dxa"/>
          </w:tcPr>
          <w:p w:rsidR="00A9522D" w:rsidRPr="00BA7B5D" w:rsidRDefault="00A9522D" w:rsidP="005E26C2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9522D" w:rsidRPr="00BA7B5D" w:rsidRDefault="00A9522D" w:rsidP="005E26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9522D" w:rsidRPr="00BA7B5D" w:rsidRDefault="00D863D9" w:rsidP="005E2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A9522D" w:rsidRPr="00BA7B5D" w:rsidTr="005E26C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9522D" w:rsidRPr="00BA7B5D" w:rsidRDefault="00A9522D" w:rsidP="005E26C2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A9522D" w:rsidRPr="00B57F5F" w:rsidRDefault="00A9522D" w:rsidP="00A9522D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сбора, расходования и распределения денежных средств населения и спонсоров при участии в Проекте по поддержке местных инициатив</w:t>
      </w:r>
    </w:p>
    <w:p w:rsidR="00A9522D" w:rsidRPr="00B24A8A" w:rsidRDefault="00A9522D" w:rsidP="00D863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Проекта по поддержке  местных инициатив в Кировской области,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Кировской области,</w:t>
      </w:r>
      <w:r w:rsidRPr="00B24A8A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24A8A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9522D" w:rsidRPr="00A9522D" w:rsidRDefault="00A9522D" w:rsidP="00A9522D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2D">
        <w:rPr>
          <w:rFonts w:ascii="Times New Roman" w:hAnsi="Times New Roman" w:cs="Times New Roman"/>
          <w:sz w:val="28"/>
          <w:szCs w:val="28"/>
        </w:rPr>
        <w:t xml:space="preserve">Утвердить Порядок сбора, расходования и распределения денежных средств населения и спонсоров при участии в Проекте по поддержке местных инициатив </w:t>
      </w:r>
      <w:proofErr w:type="gramStart"/>
      <w:r w:rsidRPr="00A9522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522D">
        <w:rPr>
          <w:rFonts w:ascii="Times New Roman" w:hAnsi="Times New Roman" w:cs="Times New Roman"/>
          <w:sz w:val="28"/>
          <w:szCs w:val="28"/>
        </w:rPr>
        <w:t>.</w:t>
      </w:r>
    </w:p>
    <w:p w:rsidR="00A9522D" w:rsidRPr="00A9522D" w:rsidRDefault="00A9522D" w:rsidP="00A9522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2D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Интернет-сайте Свечинского муниципального округа.</w:t>
      </w:r>
    </w:p>
    <w:p w:rsidR="00A9522D" w:rsidRPr="00A9522D" w:rsidRDefault="00A9522D" w:rsidP="00D863D9">
      <w:pPr>
        <w:tabs>
          <w:tab w:val="left" w:pos="1134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2D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</w:t>
      </w:r>
      <w:proofErr w:type="gramStart"/>
      <w:r w:rsidRPr="00A9522D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A9522D">
        <w:rPr>
          <w:rFonts w:ascii="Times New Roman" w:hAnsi="Times New Roman" w:cs="Times New Roman"/>
          <w:sz w:val="28"/>
          <w:szCs w:val="28"/>
        </w:rPr>
        <w:t xml:space="preserve"> возникшие с 01.01.2021. </w:t>
      </w:r>
    </w:p>
    <w:p w:rsidR="00A9522D" w:rsidRDefault="00A9522D" w:rsidP="00A9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A9522D" w:rsidRDefault="00A9522D" w:rsidP="00A9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F5F">
        <w:rPr>
          <w:rFonts w:ascii="Times New Roman" w:hAnsi="Times New Roman"/>
          <w:sz w:val="28"/>
          <w:szCs w:val="28"/>
        </w:rPr>
        <w:t xml:space="preserve">Свечинского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A9522D" w:rsidRPr="00B57F5F" w:rsidRDefault="00A9522D" w:rsidP="00A9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D863D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Г.С. Гоголева</w:t>
      </w:r>
    </w:p>
    <w:p w:rsidR="00402C65" w:rsidRPr="00392130" w:rsidRDefault="00402C65" w:rsidP="00392130"/>
    <w:p w:rsidR="003D13C6" w:rsidRDefault="00402C65" w:rsidP="0039213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921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2130" w:rsidRPr="00392130" w:rsidRDefault="00392130" w:rsidP="00392130">
      <w:pPr>
        <w:spacing w:after="0" w:line="240" w:lineRule="auto"/>
        <w:ind w:left="4820"/>
        <w:jc w:val="both"/>
        <w:rPr>
          <w:rFonts w:ascii="Traditional Arabic" w:hAnsi="Traditional Arabic" w:cs="Traditional Arabic"/>
          <w:sz w:val="28"/>
          <w:szCs w:val="28"/>
        </w:rPr>
      </w:pPr>
    </w:p>
    <w:p w:rsidR="00402C65" w:rsidRDefault="00402C65" w:rsidP="0039213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92130">
        <w:rPr>
          <w:rFonts w:ascii="Times New Roman" w:hAnsi="Times New Roman" w:cs="Times New Roman"/>
          <w:sz w:val="28"/>
          <w:szCs w:val="28"/>
        </w:rPr>
        <w:t>УТВЕРЖДЕНО</w:t>
      </w:r>
    </w:p>
    <w:p w:rsidR="00392130" w:rsidRPr="00392130" w:rsidRDefault="00392130" w:rsidP="00392130">
      <w:pPr>
        <w:spacing w:after="0" w:line="240" w:lineRule="auto"/>
        <w:ind w:left="4820"/>
        <w:jc w:val="both"/>
        <w:rPr>
          <w:rFonts w:ascii="Traditional Arabic" w:hAnsi="Traditional Arabic" w:cs="Traditional Arabic"/>
          <w:sz w:val="28"/>
          <w:szCs w:val="28"/>
        </w:rPr>
      </w:pPr>
    </w:p>
    <w:p w:rsidR="00402C65" w:rsidRPr="00392130" w:rsidRDefault="00402C65" w:rsidP="00392130">
      <w:pPr>
        <w:spacing w:after="0" w:line="240" w:lineRule="auto"/>
        <w:ind w:left="4820"/>
        <w:jc w:val="both"/>
        <w:rPr>
          <w:rFonts w:ascii="Traditional Arabic" w:hAnsi="Traditional Arabic" w:cs="Traditional Arabic"/>
          <w:sz w:val="28"/>
          <w:szCs w:val="28"/>
        </w:rPr>
      </w:pPr>
      <w:r w:rsidRPr="00392130">
        <w:rPr>
          <w:rFonts w:ascii="Times New Roman" w:hAnsi="Times New Roman" w:cs="Times New Roman"/>
          <w:sz w:val="28"/>
          <w:szCs w:val="28"/>
        </w:rPr>
        <w:t>постановлениемадминистрации</w:t>
      </w:r>
    </w:p>
    <w:p w:rsidR="00402C65" w:rsidRPr="00392130" w:rsidRDefault="00402C65" w:rsidP="00392130">
      <w:pPr>
        <w:spacing w:after="0" w:line="240" w:lineRule="auto"/>
        <w:ind w:left="4820"/>
        <w:jc w:val="both"/>
        <w:rPr>
          <w:rFonts w:ascii="Traditional Arabic" w:hAnsi="Traditional Arabic" w:cs="Traditional Arabic"/>
          <w:sz w:val="28"/>
          <w:szCs w:val="28"/>
        </w:rPr>
      </w:pPr>
      <w:r w:rsidRPr="00392130">
        <w:rPr>
          <w:rFonts w:ascii="Times New Roman" w:hAnsi="Times New Roman" w:cs="Times New Roman"/>
          <w:sz w:val="28"/>
          <w:szCs w:val="28"/>
        </w:rPr>
        <w:t>Свечинскогомуниципальногоокруга</w:t>
      </w:r>
    </w:p>
    <w:p w:rsidR="004E75F5" w:rsidRPr="004E75F5" w:rsidRDefault="00402C65" w:rsidP="0039213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75F5">
        <w:rPr>
          <w:rFonts w:ascii="Times New Roman" w:hAnsi="Times New Roman" w:cs="Times New Roman"/>
          <w:sz w:val="28"/>
          <w:szCs w:val="28"/>
        </w:rPr>
        <w:t xml:space="preserve">от </w:t>
      </w:r>
      <w:r w:rsidR="004E75F5" w:rsidRPr="004E75F5">
        <w:rPr>
          <w:rFonts w:ascii="Times New Roman" w:hAnsi="Times New Roman" w:cs="Times New Roman"/>
          <w:sz w:val="28"/>
          <w:szCs w:val="28"/>
        </w:rPr>
        <w:t>10.03.2021 № 196</w:t>
      </w:r>
    </w:p>
    <w:p w:rsidR="00402C65" w:rsidRPr="004E75F5" w:rsidRDefault="00402C65" w:rsidP="00392130">
      <w:pPr>
        <w:rPr>
          <w:rFonts w:ascii="Times New Roman" w:hAnsi="Times New Roman" w:cs="Times New Roman"/>
        </w:rPr>
      </w:pPr>
    </w:p>
    <w:p w:rsidR="003D13C6" w:rsidRPr="00392130" w:rsidRDefault="003D13C6" w:rsidP="00D86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30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392130">
        <w:rPr>
          <w:rFonts w:ascii="Times New Roman" w:hAnsi="Times New Roman" w:cs="Times New Roman"/>
          <w:b/>
          <w:sz w:val="28"/>
          <w:szCs w:val="28"/>
        </w:rPr>
        <w:br/>
        <w:t>сбора, расходования и распределения денежных средств населения и спонсоров при участии в Проекте по поддержке местных инициатив</w:t>
      </w:r>
    </w:p>
    <w:p w:rsidR="003D13C6" w:rsidRPr="00392130" w:rsidRDefault="003D13C6" w:rsidP="0039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30">
        <w:rPr>
          <w:rFonts w:ascii="Times New Roman" w:hAnsi="Times New Roman" w:cs="Times New Roman"/>
          <w:b/>
          <w:sz w:val="28"/>
          <w:szCs w:val="28"/>
        </w:rPr>
        <w:br/>
        <w:t>1. Общие положения</w:t>
      </w:r>
    </w:p>
    <w:p w:rsidR="003D13C6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2C65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от 11.08.1995 № 135-ФЗ «О благотворительной деятельности и благотворительных организациях», Законом Российской Федерации от 07.02.1992 № 2300-1 «О защите прав потребителей».</w:t>
      </w:r>
    </w:p>
    <w:p w:rsidR="003D13C6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с целью законности и результативности использования бюджетных средств, выделенных на реализацию инвестиционных программ и проектов развития общественной инфраструктуры муниципального образования </w:t>
      </w:r>
      <w:proofErr w:type="spellStart"/>
      <w:r w:rsidRPr="00402C65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402C65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и регулирует осуществление сбора, расходования и распределения денежных средств, собранных с населения и спонсоров.</w:t>
      </w:r>
    </w:p>
    <w:p w:rsidR="003D13C6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02C65">
        <w:rPr>
          <w:rFonts w:ascii="Times New Roman" w:hAnsi="Times New Roman" w:cs="Times New Roman"/>
          <w:sz w:val="28"/>
          <w:szCs w:val="28"/>
        </w:rPr>
        <w:t xml:space="preserve">Основными финансовыми источниками реализации инвестиционных программ и проектов развития общественной инфраструктуры муниципального образования </w:t>
      </w:r>
      <w:proofErr w:type="spellStart"/>
      <w:r w:rsidRPr="00402C65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402C65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являются средства областного бюджета, выделяемые в виде субсидий местным бюджетам из областного бюджета на софинансирование инвестиционных программ и проектов развития обществе</w:t>
      </w:r>
      <w:r w:rsidR="00771EB4" w:rsidRPr="00402C65">
        <w:rPr>
          <w:rFonts w:ascii="Times New Roman" w:hAnsi="Times New Roman" w:cs="Times New Roman"/>
          <w:sz w:val="28"/>
          <w:szCs w:val="28"/>
        </w:rPr>
        <w:t>нной инфраструктуры муниципальных</w:t>
      </w:r>
      <w:r w:rsidRPr="00402C6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71EB4" w:rsidRPr="00402C65">
        <w:rPr>
          <w:rFonts w:ascii="Times New Roman" w:hAnsi="Times New Roman" w:cs="Times New Roman"/>
          <w:sz w:val="28"/>
          <w:szCs w:val="28"/>
        </w:rPr>
        <w:t>й в</w:t>
      </w:r>
      <w:r w:rsidRPr="00402C65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Pr="00402C6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771EB4" w:rsidRPr="00402C65">
        <w:rPr>
          <w:rFonts w:ascii="Times New Roman" w:hAnsi="Times New Roman" w:cs="Times New Roman"/>
          <w:sz w:val="28"/>
          <w:szCs w:val="28"/>
        </w:rPr>
        <w:t xml:space="preserve"> и средства бюджета Свечинского муниципального округа Кировской области</w:t>
      </w:r>
      <w:r w:rsidRPr="00402C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EB4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>1.4. Дополнительными финансовыми источниками являются средства населения и спонсоров, полученные в результате 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Порядка — физические и юридические лица).</w:t>
      </w:r>
    </w:p>
    <w:p w:rsidR="00771EB4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>1.5. Основным принципом привлечения дополнительных финансовых средств является добровольность их внесения.</w:t>
      </w:r>
    </w:p>
    <w:p w:rsidR="00771EB4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 xml:space="preserve">1.6. Денежные средства, указанные в пунктах 1.3. и 1.4. настоящего Порядка поступают в бюджет </w:t>
      </w:r>
      <w:r w:rsidR="00771EB4" w:rsidRPr="00402C65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Pr="00402C65">
        <w:rPr>
          <w:rFonts w:ascii="Times New Roman" w:hAnsi="Times New Roman" w:cs="Times New Roman"/>
          <w:sz w:val="28"/>
          <w:szCs w:val="28"/>
        </w:rPr>
        <w:t xml:space="preserve"> и могут быть направлены исключительно на реализацию Проекта по поддержке местных инициатив, получившего </w:t>
      </w:r>
      <w:proofErr w:type="spellStart"/>
      <w:r w:rsidRPr="00402C65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402C65">
        <w:rPr>
          <w:rFonts w:ascii="Times New Roman" w:hAnsi="Times New Roman" w:cs="Times New Roman"/>
          <w:sz w:val="28"/>
          <w:szCs w:val="28"/>
        </w:rPr>
        <w:t xml:space="preserve"> поддержку. Уплата денежных средств физическими лицами производится путем передачи наличных денежных средств н</w:t>
      </w:r>
      <w:r w:rsidR="00771EB4" w:rsidRPr="00402C65">
        <w:rPr>
          <w:rFonts w:ascii="Times New Roman" w:hAnsi="Times New Roman" w:cs="Times New Roman"/>
          <w:sz w:val="28"/>
          <w:szCs w:val="28"/>
        </w:rPr>
        <w:t>а основании платежной ведомости</w:t>
      </w:r>
      <w:r w:rsidRPr="00402C65">
        <w:rPr>
          <w:rFonts w:ascii="Times New Roman" w:hAnsi="Times New Roman" w:cs="Times New Roman"/>
          <w:sz w:val="28"/>
          <w:szCs w:val="28"/>
        </w:rPr>
        <w:t xml:space="preserve">. Подтверждением факта оплаты является личная подпись гражданина в платежной ведомости.Уплата денежных средств физическими и юридическими лицами может производиться также путем </w:t>
      </w:r>
      <w:r w:rsidR="00771EB4" w:rsidRPr="00402C65">
        <w:rPr>
          <w:rFonts w:ascii="Times New Roman" w:hAnsi="Times New Roman" w:cs="Times New Roman"/>
          <w:sz w:val="28"/>
          <w:szCs w:val="28"/>
        </w:rPr>
        <w:t>перечисления</w:t>
      </w:r>
      <w:r w:rsidRPr="00402C65">
        <w:rPr>
          <w:rFonts w:ascii="Times New Roman" w:hAnsi="Times New Roman" w:cs="Times New Roman"/>
          <w:sz w:val="28"/>
          <w:szCs w:val="28"/>
        </w:rPr>
        <w:t xml:space="preserve"> денежных средств на расчетный счет </w:t>
      </w:r>
      <w:r w:rsidR="00771EB4" w:rsidRPr="00402C65">
        <w:rPr>
          <w:rFonts w:ascii="Times New Roman" w:hAnsi="Times New Roman" w:cs="Times New Roman"/>
          <w:sz w:val="28"/>
          <w:szCs w:val="28"/>
        </w:rPr>
        <w:t>администрации Свечинского муниципального округа Кировской области</w:t>
      </w:r>
      <w:r w:rsidR="00402C65">
        <w:rPr>
          <w:rFonts w:ascii="Times New Roman" w:hAnsi="Times New Roman" w:cs="Times New Roman"/>
          <w:sz w:val="28"/>
          <w:szCs w:val="28"/>
        </w:rPr>
        <w:t>, как инициативные платежи, зачисляемые в бюджеты муниципальных округов по проектуи</w:t>
      </w:r>
      <w:r w:rsidRPr="00402C65">
        <w:rPr>
          <w:rFonts w:ascii="Times New Roman" w:hAnsi="Times New Roman" w:cs="Times New Roman"/>
          <w:sz w:val="28"/>
          <w:szCs w:val="28"/>
        </w:rPr>
        <w:t xml:space="preserve"> коду бюджетной классификации. Подтверждением факта оплаты является квитанция об о</w:t>
      </w:r>
      <w:r w:rsidR="00771EB4" w:rsidRPr="00402C65">
        <w:rPr>
          <w:rFonts w:ascii="Times New Roman" w:hAnsi="Times New Roman" w:cs="Times New Roman"/>
          <w:sz w:val="28"/>
          <w:szCs w:val="28"/>
        </w:rPr>
        <w:t>плате либо платежное поручение.</w:t>
      </w:r>
    </w:p>
    <w:p w:rsidR="00771EB4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>1.</w:t>
      </w:r>
      <w:r w:rsidR="00771EB4" w:rsidRPr="00402C65">
        <w:rPr>
          <w:rFonts w:ascii="Times New Roman" w:hAnsi="Times New Roman" w:cs="Times New Roman"/>
          <w:sz w:val="28"/>
          <w:szCs w:val="28"/>
        </w:rPr>
        <w:t>7</w:t>
      </w:r>
      <w:r w:rsidRPr="00402C65">
        <w:rPr>
          <w:rFonts w:ascii="Times New Roman" w:hAnsi="Times New Roman" w:cs="Times New Roman"/>
          <w:sz w:val="28"/>
          <w:szCs w:val="28"/>
        </w:rPr>
        <w:t>. Распоряжение привлеченными добровольными пожертвованиями населения и спонсоров осуществляется в соо</w:t>
      </w:r>
      <w:r w:rsidR="00771EB4" w:rsidRPr="00402C65">
        <w:rPr>
          <w:rFonts w:ascii="Times New Roman" w:hAnsi="Times New Roman" w:cs="Times New Roman"/>
          <w:sz w:val="28"/>
          <w:szCs w:val="28"/>
        </w:rPr>
        <w:t>тветствии с настоящим Порядком.</w:t>
      </w:r>
    </w:p>
    <w:p w:rsidR="00771EB4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>1.</w:t>
      </w:r>
      <w:r w:rsidR="00771EB4" w:rsidRPr="00402C65">
        <w:rPr>
          <w:rFonts w:ascii="Times New Roman" w:hAnsi="Times New Roman" w:cs="Times New Roman"/>
          <w:sz w:val="28"/>
          <w:szCs w:val="28"/>
        </w:rPr>
        <w:t>8</w:t>
      </w:r>
      <w:r w:rsidRPr="00402C65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образования </w:t>
      </w:r>
      <w:r w:rsidR="00771EB4" w:rsidRPr="00402C65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Кировской области </w:t>
      </w:r>
      <w:r w:rsidRPr="00402C65">
        <w:rPr>
          <w:rFonts w:ascii="Times New Roman" w:hAnsi="Times New Roman" w:cs="Times New Roman"/>
          <w:sz w:val="28"/>
          <w:szCs w:val="28"/>
        </w:rPr>
        <w:t xml:space="preserve">обязана представлять отчет о расходовании пожертвований юридических </w:t>
      </w:r>
      <w:r w:rsidR="00771EB4" w:rsidRPr="00402C65">
        <w:rPr>
          <w:rFonts w:ascii="Times New Roman" w:hAnsi="Times New Roman" w:cs="Times New Roman"/>
          <w:sz w:val="28"/>
          <w:szCs w:val="28"/>
        </w:rPr>
        <w:t>и физических лиц по их запросу.</w:t>
      </w:r>
    </w:p>
    <w:p w:rsidR="0045440F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71EB4" w:rsidRPr="00402C65">
        <w:rPr>
          <w:rFonts w:ascii="Times New Roman" w:hAnsi="Times New Roman" w:cs="Times New Roman"/>
          <w:sz w:val="28"/>
          <w:szCs w:val="28"/>
        </w:rPr>
        <w:t>9</w:t>
      </w:r>
      <w:r w:rsidRPr="00402C65">
        <w:rPr>
          <w:rFonts w:ascii="Times New Roman" w:hAnsi="Times New Roman" w:cs="Times New Roman"/>
          <w:sz w:val="28"/>
          <w:szCs w:val="28"/>
        </w:rPr>
        <w:t xml:space="preserve">. При использовании денежных средств, полученных в виде добровольных пожертвований юридических и физических лиц не по назначению определенному населением и спонсорами, должностные лица администрации муниципального образования </w:t>
      </w:r>
      <w:r w:rsidR="00771EB4" w:rsidRPr="00402C65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Кировской области </w:t>
      </w:r>
      <w:r w:rsidRPr="00402C65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гражданским законодательством.</w:t>
      </w:r>
    </w:p>
    <w:p w:rsidR="0045440F" w:rsidRDefault="0045440F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B4" w:rsidRPr="0045440F" w:rsidRDefault="003D13C6" w:rsidP="00D86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40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45440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5440F">
        <w:rPr>
          <w:rFonts w:ascii="Times New Roman" w:hAnsi="Times New Roman" w:cs="Times New Roman"/>
          <w:b/>
          <w:sz w:val="28"/>
          <w:szCs w:val="28"/>
        </w:rPr>
        <w:t xml:space="preserve"> соблюдением законности привлечения дополнительных финансовых средств</w:t>
      </w:r>
      <w:r w:rsidR="0045440F" w:rsidRPr="0045440F">
        <w:rPr>
          <w:rFonts w:ascii="Times New Roman" w:hAnsi="Times New Roman" w:cs="Times New Roman"/>
          <w:b/>
          <w:sz w:val="28"/>
          <w:szCs w:val="28"/>
        </w:rPr>
        <w:t>.</w:t>
      </w:r>
    </w:p>
    <w:p w:rsidR="0045440F" w:rsidRPr="00402C65" w:rsidRDefault="0045440F" w:rsidP="004544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3F6B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02C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C65">
        <w:rPr>
          <w:rFonts w:ascii="Times New Roman" w:hAnsi="Times New Roman" w:cs="Times New Roman"/>
          <w:sz w:val="28"/>
          <w:szCs w:val="28"/>
        </w:rPr>
        <w:t xml:space="preserve"> соблюдением законности привлечения дополнительных финансовых средств администрацией муниципального образования </w:t>
      </w:r>
      <w:r w:rsidR="00533F6B" w:rsidRPr="00402C65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Кировской области </w:t>
      </w:r>
      <w:r w:rsidRPr="00402C65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муниципального образования </w:t>
      </w:r>
      <w:r w:rsidR="00533F6B" w:rsidRPr="00402C65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Pr="00402C65">
        <w:rPr>
          <w:rFonts w:ascii="Times New Roman" w:hAnsi="Times New Roman" w:cs="Times New Roman"/>
          <w:sz w:val="28"/>
          <w:szCs w:val="28"/>
        </w:rPr>
        <w:t>.</w:t>
      </w:r>
    </w:p>
    <w:p w:rsidR="00533F6B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402C65">
        <w:rPr>
          <w:rFonts w:ascii="Times New Roman" w:hAnsi="Times New Roman" w:cs="Times New Roman"/>
          <w:sz w:val="28"/>
          <w:szCs w:val="28"/>
        </w:rPr>
        <w:t xml:space="preserve">Неиспользованные </w:t>
      </w:r>
      <w:r w:rsidR="00651538">
        <w:rPr>
          <w:rFonts w:ascii="Times New Roman" w:hAnsi="Times New Roman" w:cs="Times New Roman"/>
          <w:sz w:val="28"/>
          <w:szCs w:val="28"/>
        </w:rPr>
        <w:t xml:space="preserve">(в том числе сэкономленные по результатам проведения закупок) </w:t>
      </w:r>
      <w:r w:rsidRPr="00402C65">
        <w:rPr>
          <w:rFonts w:ascii="Times New Roman" w:hAnsi="Times New Roman" w:cs="Times New Roman"/>
          <w:sz w:val="28"/>
          <w:szCs w:val="28"/>
        </w:rPr>
        <w:t xml:space="preserve">денежные средства, собранные с населения и спонсоров в целях реализации инвестиционных программ и проектов развития общественной инфраструктуры муниципального образования </w:t>
      </w:r>
      <w:r w:rsidR="00533F6B" w:rsidRPr="00402C65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Pr="00402C65">
        <w:rPr>
          <w:rFonts w:ascii="Times New Roman" w:hAnsi="Times New Roman" w:cs="Times New Roman"/>
          <w:sz w:val="28"/>
          <w:szCs w:val="28"/>
        </w:rPr>
        <w:t xml:space="preserve">, </w:t>
      </w:r>
      <w:r w:rsidR="00533F6B" w:rsidRPr="00402C65">
        <w:rPr>
          <w:rFonts w:ascii="Times New Roman" w:hAnsi="Times New Roman" w:cs="Times New Roman"/>
          <w:sz w:val="28"/>
          <w:szCs w:val="28"/>
        </w:rPr>
        <w:t xml:space="preserve">в </w:t>
      </w:r>
      <w:r w:rsidRPr="00402C65">
        <w:rPr>
          <w:rFonts w:ascii="Times New Roman" w:hAnsi="Times New Roman" w:cs="Times New Roman"/>
          <w:sz w:val="28"/>
          <w:szCs w:val="28"/>
        </w:rPr>
        <w:t>отчетном году изъятию не подлежат, переходят на следующий финансовый год и расходуются на цели, предусмотренные настоящим Порядком</w:t>
      </w:r>
      <w:r w:rsidR="00651538">
        <w:rPr>
          <w:rFonts w:ascii="Times New Roman" w:hAnsi="Times New Roman" w:cs="Times New Roman"/>
          <w:sz w:val="28"/>
          <w:szCs w:val="28"/>
        </w:rPr>
        <w:t xml:space="preserve"> и  обозначенные в протоколе  инициативной группы.</w:t>
      </w:r>
      <w:proofErr w:type="gramEnd"/>
    </w:p>
    <w:p w:rsidR="00533F6B" w:rsidRPr="00402C65" w:rsidRDefault="003D13C6" w:rsidP="00402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6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02C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2C65">
        <w:rPr>
          <w:rFonts w:ascii="Times New Roman" w:hAnsi="Times New Roman" w:cs="Times New Roman"/>
          <w:sz w:val="28"/>
          <w:szCs w:val="28"/>
        </w:rPr>
        <w:t xml:space="preserve"> целевым использованием денежных средств, собранных с населения и спонсоров в целях реализации инвестиционных программ и проектов развития общественной инфраструктуры муниципального образования </w:t>
      </w:r>
      <w:r w:rsidR="00533F6B" w:rsidRPr="00402C65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Pr="00402C65">
        <w:rPr>
          <w:rFonts w:ascii="Times New Roman" w:hAnsi="Times New Roman" w:cs="Times New Roman"/>
          <w:sz w:val="28"/>
          <w:szCs w:val="28"/>
        </w:rPr>
        <w:t>, осуществляется в порядке, предусмотренном Бюджетным кодексом Российской Федерации.</w:t>
      </w:r>
    </w:p>
    <w:p w:rsidR="003D13C6" w:rsidRDefault="003D13C6" w:rsidP="00533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</w:p>
    <w:p w:rsid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5440F" w:rsidRDefault="0045440F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сбора, расходования и распределения денежных средств населения и спонсоров при участии в Проекте по  поддержке местных инициатив</w:t>
      </w:r>
    </w:p>
    <w:p w:rsid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6B" w:rsidRP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715EBE" w:rsidRP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инициативной группы</w:t>
      </w:r>
    </w:p>
    <w:p w:rsidR="00715EBE" w:rsidRP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E" w:rsidRPr="00715EBE" w:rsidRDefault="00715EBE" w:rsidP="0071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 по сбору денежных средств с населенияпо реализации проекта по поддержке местных инициатив</w:t>
      </w:r>
    </w:p>
    <w:p w:rsidR="00715EBE" w:rsidRPr="00715EBE" w:rsidRDefault="00715EBE" w:rsidP="005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15EBE" w:rsidRPr="00715EBE" w:rsidRDefault="00715EBE" w:rsidP="005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проект)</w:t>
      </w:r>
    </w:p>
    <w:p w:rsidR="00715EBE" w:rsidRPr="00715EBE" w:rsidRDefault="00715EBE" w:rsidP="005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6"/>
        <w:gridCol w:w="2438"/>
        <w:gridCol w:w="1591"/>
        <w:gridCol w:w="1753"/>
        <w:gridCol w:w="1583"/>
        <w:gridCol w:w="1590"/>
      </w:tblGrid>
      <w:tr w:rsidR="00715EBE" w:rsidRPr="00715EBE" w:rsidTr="00715EBE">
        <w:tc>
          <w:tcPr>
            <w:tcW w:w="616" w:type="dxa"/>
            <w:vAlign w:val="center"/>
          </w:tcPr>
          <w:p w:rsidR="00715EBE" w:rsidRPr="00715EBE" w:rsidRDefault="00715EBE" w:rsidP="007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8" w:type="dxa"/>
            <w:vAlign w:val="center"/>
          </w:tcPr>
          <w:p w:rsidR="00715EBE" w:rsidRPr="00715EBE" w:rsidRDefault="00715EBE" w:rsidP="007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гражданина, вносящего денежные средства</w:t>
            </w:r>
          </w:p>
        </w:tc>
        <w:tc>
          <w:tcPr>
            <w:tcW w:w="1591" w:type="dxa"/>
            <w:vAlign w:val="center"/>
          </w:tcPr>
          <w:p w:rsidR="00715EBE" w:rsidRPr="00715EBE" w:rsidRDefault="00715EBE" w:rsidP="007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проживания гражданина</w:t>
            </w:r>
          </w:p>
        </w:tc>
        <w:tc>
          <w:tcPr>
            <w:tcW w:w="1753" w:type="dxa"/>
            <w:vAlign w:val="center"/>
          </w:tcPr>
          <w:p w:rsidR="00715EBE" w:rsidRPr="00715EBE" w:rsidRDefault="00715EBE" w:rsidP="007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внесенная гражданином, рублей</w:t>
            </w:r>
          </w:p>
        </w:tc>
        <w:tc>
          <w:tcPr>
            <w:tcW w:w="1583" w:type="dxa"/>
            <w:vAlign w:val="center"/>
          </w:tcPr>
          <w:p w:rsidR="00715EBE" w:rsidRPr="00715EBE" w:rsidRDefault="00715EBE" w:rsidP="007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гражданина</w:t>
            </w:r>
          </w:p>
        </w:tc>
        <w:tc>
          <w:tcPr>
            <w:tcW w:w="1590" w:type="dxa"/>
            <w:vAlign w:val="center"/>
          </w:tcPr>
          <w:p w:rsidR="00715EBE" w:rsidRPr="00715EBE" w:rsidRDefault="00715EBE" w:rsidP="00715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и подпись лица, принявшего денежны</w:t>
            </w:r>
            <w:r w:rsidRPr="00715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3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</w:t>
            </w:r>
          </w:p>
        </w:tc>
      </w:tr>
      <w:tr w:rsidR="00715EBE" w:rsidTr="00715EBE">
        <w:tc>
          <w:tcPr>
            <w:tcW w:w="616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38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EBE" w:rsidTr="00715EBE">
        <w:tc>
          <w:tcPr>
            <w:tcW w:w="616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38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EBE" w:rsidTr="00715EBE">
        <w:tc>
          <w:tcPr>
            <w:tcW w:w="616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438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EBE" w:rsidTr="00715EBE">
        <w:tc>
          <w:tcPr>
            <w:tcW w:w="4645" w:type="dxa"/>
            <w:gridSpan w:val="3"/>
          </w:tcPr>
          <w:p w:rsidR="00715EBE" w:rsidRDefault="00715EBE" w:rsidP="00715E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53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EBE" w:rsidTr="00715EBE">
        <w:tc>
          <w:tcPr>
            <w:tcW w:w="4645" w:type="dxa"/>
            <w:gridSpan w:val="3"/>
          </w:tcPr>
          <w:p w:rsidR="00715EBE" w:rsidRDefault="00715EBE" w:rsidP="00715E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ВЕДОМОСТИ:</w:t>
            </w:r>
          </w:p>
        </w:tc>
        <w:tc>
          <w:tcPr>
            <w:tcW w:w="1753" w:type="dxa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</w:tcPr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715EBE" w:rsidRDefault="00715EBE" w:rsidP="00533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</w:tbl>
    <w:p w:rsidR="00715EBE" w:rsidRDefault="00715EBE" w:rsidP="005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EBE" w:rsidRDefault="00715EBE" w:rsidP="005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D9" w:rsidRDefault="00D863D9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E" w:rsidRP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715EBE" w:rsidRP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инициативной группы</w:t>
      </w:r>
    </w:p>
    <w:p w:rsidR="00715EBE" w:rsidRPr="00715EBE" w:rsidRDefault="00715EBE" w:rsidP="00715EB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E" w:rsidRPr="00715EBE" w:rsidRDefault="00715EBE" w:rsidP="0071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Ведомость по сбору денежных средств </w:t>
      </w:r>
      <w:r w:rsidR="00454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спонсоров</w:t>
      </w:r>
      <w:r w:rsidRPr="007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проекта по поддержке местных инициатив</w:t>
      </w:r>
    </w:p>
    <w:p w:rsidR="00715EBE" w:rsidRPr="00715EBE" w:rsidRDefault="00715EBE" w:rsidP="0071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15EBE" w:rsidRPr="00715EBE" w:rsidRDefault="00715EBE" w:rsidP="0071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проект)</w:t>
      </w:r>
    </w:p>
    <w:p w:rsidR="00715EBE" w:rsidRPr="00715EBE" w:rsidRDefault="00715EBE" w:rsidP="0071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09"/>
        <w:gridCol w:w="1881"/>
        <w:gridCol w:w="1883"/>
        <w:gridCol w:w="2053"/>
        <w:gridCol w:w="1883"/>
        <w:gridCol w:w="1362"/>
      </w:tblGrid>
      <w:tr w:rsidR="00715EBE" w:rsidRPr="00715EBE" w:rsidTr="00715EBE">
        <w:tc>
          <w:tcPr>
            <w:tcW w:w="509" w:type="dxa"/>
            <w:vAlign w:val="center"/>
          </w:tcPr>
          <w:p w:rsidR="00715EBE" w:rsidRP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1" w:type="dxa"/>
            <w:vAlign w:val="center"/>
          </w:tcPr>
          <w:p w:rsidR="00715EBE" w:rsidRP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Предприятие, организация, индивидуальный предприниматель</w:t>
            </w:r>
          </w:p>
        </w:tc>
        <w:tc>
          <w:tcPr>
            <w:tcW w:w="1883" w:type="dxa"/>
            <w:vAlign w:val="center"/>
          </w:tcPr>
          <w:p w:rsidR="00715EBE" w:rsidRP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предприятия, организации, индивидуального предпринимателя</w:t>
            </w:r>
          </w:p>
        </w:tc>
        <w:tc>
          <w:tcPr>
            <w:tcW w:w="2053" w:type="dxa"/>
            <w:vAlign w:val="center"/>
          </w:tcPr>
          <w:p w:rsidR="00715EBE" w:rsidRP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внесенная предприятием, организацией, индивидуальным предпринимателем, рублей</w:t>
            </w:r>
          </w:p>
        </w:tc>
        <w:tc>
          <w:tcPr>
            <w:tcW w:w="1883" w:type="dxa"/>
            <w:vAlign w:val="center"/>
          </w:tcPr>
          <w:p w:rsidR="00715EBE" w:rsidRP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руководителя предприятия, организации, индивидуального предпринимателя</w:t>
            </w:r>
          </w:p>
        </w:tc>
        <w:tc>
          <w:tcPr>
            <w:tcW w:w="1362" w:type="dxa"/>
            <w:vAlign w:val="center"/>
          </w:tcPr>
          <w:p w:rsidR="00715EBE" w:rsidRP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и подпись лица, принявшего денежны</w:t>
            </w:r>
            <w:r w:rsidRPr="00715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3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</w:t>
            </w:r>
          </w:p>
        </w:tc>
      </w:tr>
      <w:tr w:rsidR="00715EBE" w:rsidTr="00715EBE">
        <w:tc>
          <w:tcPr>
            <w:tcW w:w="509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1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EBE" w:rsidTr="00715EBE">
        <w:tc>
          <w:tcPr>
            <w:tcW w:w="509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81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EBE" w:rsidTr="00715EBE">
        <w:tc>
          <w:tcPr>
            <w:tcW w:w="509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81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EBE" w:rsidTr="00715EBE">
        <w:tc>
          <w:tcPr>
            <w:tcW w:w="4273" w:type="dxa"/>
            <w:gridSpan w:val="3"/>
          </w:tcPr>
          <w:p w:rsidR="00715EBE" w:rsidRDefault="00715EBE" w:rsidP="005E26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5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2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EBE" w:rsidTr="00715EBE">
        <w:tc>
          <w:tcPr>
            <w:tcW w:w="4273" w:type="dxa"/>
            <w:gridSpan w:val="3"/>
          </w:tcPr>
          <w:p w:rsidR="00715EBE" w:rsidRDefault="00715EBE" w:rsidP="005E26C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ВЕДОМОСТИ:</w:t>
            </w:r>
          </w:p>
        </w:tc>
        <w:tc>
          <w:tcPr>
            <w:tcW w:w="2053" w:type="dxa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2"/>
          </w:tcPr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715EBE" w:rsidRDefault="00715EBE" w:rsidP="005E26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</w:tbl>
    <w:p w:rsidR="00BB4848" w:rsidRDefault="00BB4848" w:rsidP="008D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5F5" w:rsidRDefault="004E75F5" w:rsidP="008D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5F5" w:rsidRPr="003D13C6" w:rsidRDefault="004E75F5" w:rsidP="008D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75F5" w:rsidRPr="003D13C6" w:rsidSect="006E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32A71"/>
    <w:multiLevelType w:val="hybridMultilevel"/>
    <w:tmpl w:val="DDAEFC94"/>
    <w:lvl w:ilvl="0" w:tplc="296203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F64D0"/>
    <w:multiLevelType w:val="hybridMultilevel"/>
    <w:tmpl w:val="A2ECD5BE"/>
    <w:lvl w:ilvl="0" w:tplc="6F7A245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FA"/>
    <w:rsid w:val="00234C79"/>
    <w:rsid w:val="00392130"/>
    <w:rsid w:val="003D13C6"/>
    <w:rsid w:val="00402C65"/>
    <w:rsid w:val="0045440F"/>
    <w:rsid w:val="004E75F5"/>
    <w:rsid w:val="00533F6B"/>
    <w:rsid w:val="00651538"/>
    <w:rsid w:val="006E0469"/>
    <w:rsid w:val="00715EBE"/>
    <w:rsid w:val="00771EB4"/>
    <w:rsid w:val="008D2840"/>
    <w:rsid w:val="00A71EFA"/>
    <w:rsid w:val="00A9522D"/>
    <w:rsid w:val="00BB4848"/>
    <w:rsid w:val="00D8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A9522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rsid w:val="00A9522D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Body Text"/>
    <w:basedOn w:val="a"/>
    <w:link w:val="a6"/>
    <w:rsid w:val="00A9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9522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rsid w:val="00A952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A9522D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A952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95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A9522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rsid w:val="00A9522D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Body Text"/>
    <w:basedOn w:val="a"/>
    <w:link w:val="a6"/>
    <w:rsid w:val="00A9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A952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rsid w:val="00A952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A952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Hyperlink"/>
    <w:uiPriority w:val="99"/>
    <w:unhideWhenUsed/>
    <w:rsid w:val="00A952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95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C5C8-9580-4512-AB85-8BDBC66F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JKH_2</cp:lastModifiedBy>
  <cp:revision>3</cp:revision>
  <cp:lastPrinted>2021-03-15T13:13:00Z</cp:lastPrinted>
  <dcterms:created xsi:type="dcterms:W3CDTF">2021-03-15T13:05:00Z</dcterms:created>
  <dcterms:modified xsi:type="dcterms:W3CDTF">2021-03-15T13:14:00Z</dcterms:modified>
</cp:coreProperties>
</file>