
<file path=[Content_Types].xml><?xml version="1.0" encoding="utf-8"?>
<Types xmlns="http://schemas.openxmlformats.org/package/2006/content-types">
  <Default Extension="jpeg" ContentType="image/jpeg"/>
  <Default Extension="emf" ContentType="image/emf"/>
  <Default Extension="png" ContentType="image/png"/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200" w:hRule="exact"/>
        </w:trPr>
        <w:tc>
          <w:tcPr>
            <w:tcW w:w="49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4000" w:type="dxa"/>
            <w:gridSpan w:val="3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Приложение 16</w:t>
            </w:r>
          </w:p>
        </w:tc>
      </w:tr>
      <w:tr>
        <w:trPr>
          <w:trHeight w:val="200" w:hRule="exact"/>
        </w:trPr>
        <w:tc>
          <w:tcPr>
            <w:tcW w:w="49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4000" w:type="dxa"/>
            <w:gridSpan w:val="3"/>
            <w:vAlign w:val="bottom"/>
          </w:tcPr>
          <w:p>
            <w:pPr>
              <w:jc w:val="left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к решению Думы Свечинского</w:t>
            </w:r>
          </w:p>
        </w:tc>
      </w:tr>
      <w:tr>
        <w:trPr>
          <w:trHeight w:val="200" w:hRule="exact"/>
        </w:trPr>
        <w:tc>
          <w:tcPr>
            <w:tcW w:w="49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4000" w:type="dxa"/>
            <w:gridSpan w:val="3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муниципального округа</w:t>
            </w:r>
          </w:p>
        </w:tc>
      </w:tr>
      <w:tr>
        <w:trPr>
          <w:trHeight w:val="200" w:hRule="exact"/>
        </w:trPr>
        <w:tc>
          <w:tcPr>
            <w:tcW w:w="49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200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Кировской области</w:t>
            </w:r>
          </w:p>
        </w:tc>
        <w:tc>
          <w:tcPr>
            <w:tcW w:w="9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00" w:hRule="exact"/>
        </w:trPr>
        <w:tc>
          <w:tcPr>
            <w:tcW w:w="49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200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от  13.12.2023 №  44/391</w:t>
            </w:r>
          </w:p>
        </w:tc>
        <w:tc>
          <w:tcPr>
            <w:tcW w:w="9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00" w:hRule="exact"/>
        </w:trPr>
        <w:tc>
          <w:tcPr>
            <w:tcW w:w="49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200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9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00" w:hRule="exact"/>
        </w:trPr>
        <w:tc>
          <w:tcPr>
            <w:tcW w:w="49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200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9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00" w:hRule="exact"/>
        </w:trPr>
        <w:tc>
          <w:tcPr>
            <w:tcW w:w="8960" w:type="dxa"/>
            <w:gridSpan w:val="4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8"/>
                <w:b w:val="on"/>
                <w:i w:val="off"/>
                <w:u w:val="none"/>
              </w:rPr>
              <w:t>ИСТОЧНИКИ</w:t>
            </w:r>
          </w:p>
        </w:tc>
      </w:tr>
      <w:tr>
        <w:trPr>
          <w:trHeight w:val="580" w:hRule="exact"/>
        </w:trPr>
        <w:tc>
          <w:tcPr>
            <w:tcW w:w="8960" w:type="dxa"/>
            <w:gridSpan w:val="4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финансирования дефицита бюджета муниципального образования Свечинский муниципальный округ Кировской области на 2025 год и на 2026 год</w:t>
            </w:r>
          </w:p>
        </w:tc>
      </w:tr>
      <w:tr>
        <w:trPr>
          <w:trHeight w:val="280" w:hRule="exact"/>
        </w:trPr>
        <w:tc>
          <w:tcPr>
            <w:tcW w:w="49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200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9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80" w:hRule="exact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Наименование показателя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Код бюджетной классификации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Сумма  (тыс.рублей)</w:t>
            </w:r>
          </w:p>
        </w:tc>
      </w:tr>
      <w:tr>
        <w:trPr>
          <w:trHeight w:val="380" w:hRule="exact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2025 год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2026 год</w:t>
            </w:r>
          </w:p>
        </w:tc>
      </w:tr>
      <w:tr>
        <w:trPr>
          <w:trHeight w:val="420" w:hRule="exact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ИСТОЧНИКИ ВНУТРЕННЕГО ФИНАНСИРОВАНИЯ ДЕФИЦИТОВ БЮДЖЕТОВ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000 01 00 00 00 00 0000 000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0,00</w:t>
            </w:r>
          </w:p>
        </w:tc>
      </w:tr>
      <w:tr>
        <w:trPr>
          <w:trHeight w:val="240" w:hRule="exact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Кредиты кредитных организаций в валюте Российской Федерации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000 01 02 00 00 00 0000 000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0,00</w:t>
            </w:r>
          </w:p>
        </w:tc>
      </w:tr>
      <w:tr>
        <w:trPr>
          <w:trHeight w:val="360" w:hRule="exact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Привлечение кредитов от кредитных организаций в валюте Российской федерации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000 01 02 00 00 00 0000 700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9 000,00</w:t>
            </w:r>
          </w:p>
        </w:tc>
      </w:tr>
      <w:tr>
        <w:trPr>
          <w:trHeight w:val="400" w:hRule="exact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Привлечение кредитов от кредитных организаций бюджетами  муниципальных округов в валюте Российской Федерации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936 01 02 00 00 14 0000 710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9 000,00</w:t>
            </w:r>
          </w:p>
        </w:tc>
      </w:tr>
      <w:tr>
        <w:trPr>
          <w:trHeight w:val="400" w:hRule="exact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000 01 02 00 00 00 0000 800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9 000,00</w:t>
            </w:r>
          </w:p>
        </w:tc>
      </w:tr>
      <w:tr>
        <w:trPr>
          <w:trHeight w:val="400" w:hRule="exact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Погашение бюджетами муниципальных округов кредитов от кредитных организаций в валюте Российской Федерации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936 01 02 00 00 14 0000 810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9 000,00</w:t>
            </w:r>
          </w:p>
        </w:tc>
      </w:tr>
      <w:tr>
        <w:trPr>
          <w:trHeight w:val="260" w:hRule="exact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000 01 05 00 00 00 0000 000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0,00</w:t>
            </w:r>
          </w:p>
        </w:tc>
      </w:tr>
      <w:tr>
        <w:trPr>
          <w:trHeight w:val="0" w:hRule="exact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4"/>
                <w:b w:val="on"/>
                <w:i w:val="on"/>
                <w:u w:val="none"/>
              </w:rPr>
              <w:t>Изменение остатков средств на счетах по учету средств бюджета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n"/>
                <w:u w:val="none"/>
              </w:rPr>
              <w:t>000 01 05 00 00 00 0000 000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n"/>
                <w:u w:val="none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n"/>
                <w:u w:val="none"/>
              </w:rPr>
              <w:t>0,00</w:t>
            </w:r>
          </w:p>
        </w:tc>
      </w:tr>
      <w:tr>
        <w:trPr>
          <w:trHeight w:val="240" w:hRule="exact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Увеличение остатков средств бюджетов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000 01 05 00 00 00 0000 500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193 615,80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202 853,50</w:t>
            </w:r>
          </w:p>
        </w:tc>
      </w:tr>
      <w:tr>
        <w:trPr>
          <w:trHeight w:val="320" w:hRule="exact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Увеличение прочих остатков средств бюджетов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000 01 05 02 00 00 0000 500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193 615,80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202 853,50</w:t>
            </w:r>
          </w:p>
        </w:tc>
      </w:tr>
      <w:tr>
        <w:trPr>
          <w:trHeight w:val="400" w:hRule="exact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Увеличение прочих остатков денежных средств бюджетов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000 01 05 02 01 00 0000 510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193 615,80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202 853,50</w:t>
            </w:r>
          </w:p>
        </w:tc>
      </w:tr>
      <w:tr>
        <w:trPr>
          <w:trHeight w:val="380" w:hRule="exact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912 01 05 02 01 14 0000 510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193 615,80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202 853,50</w:t>
            </w:r>
          </w:p>
        </w:tc>
      </w:tr>
      <w:tr>
        <w:trPr>
          <w:trHeight w:val="200" w:hRule="exact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Уменьшение остатков средств бюджетов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000 01 05 00 00 00 0000 600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193 615,80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202 853,50</w:t>
            </w:r>
          </w:p>
        </w:tc>
      </w:tr>
      <w:tr>
        <w:trPr>
          <w:trHeight w:val="240" w:hRule="exact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Уменьшение прочих остатков средств бюджетов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000 01 05 02 00 00 0000 600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193 615,80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202 853,50</w:t>
            </w:r>
          </w:p>
        </w:tc>
      </w:tr>
      <w:tr>
        <w:trPr>
          <w:trHeight w:val="220" w:hRule="exact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Уменьшение прочих остатков денежных средств бюджетов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000 01 05 02 01 00 0000 610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193 615,80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202 853,50</w:t>
            </w:r>
          </w:p>
        </w:tc>
      </w:tr>
      <w:tr>
        <w:trPr>
          <w:trHeight w:val="420" w:hRule="exact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912 01 05 02 01 14 0000 610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193 615,80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202 853,50</w:t>
            </w:r>
          </w:p>
        </w:tc>
      </w:tr>
    </w:tbl>
    <w:sectPr>
      <w:headerReference w:type="default" r:id="rId6"/>
      <w:pgSz w:w="11925" w:h="16860"/>
      <w:pgMar w:top="230" w:right="173" w:bottom="1440" w:left="23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Header"/>
    </w:pPr>
    <w:r/>
    <w:r>
      <w:r>
        <w:ptab w:relativeTo="margin" w:alignment="center" w:leader="none"/>
      </w:r>
      <w:r>
        <w:rPr>
          <w:rFonts w:ascii="Arial Cyr" w:hAnsi="Arial Cyr" w:cs="Arial Cyr"/>
          <w:sz w:val="20"/>
          <w:szCs w:val="20"/>
        </w:rPr>
        <w:t>1</w:t>
      </w: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27"/>
    <w:rsid w:val="00F3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97959-4C7F-4DC4-8F68-24FF9624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theme" Target="theme/theme1.xml" /><Relationship Id="rId5" Type="http://schemas.openxmlformats.org/officeDocument/2006/relationships/fontTable" Target="fontTable.xml" /><Relationship Id="rId6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