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</w:t>
      </w:r>
    </w:p>
    <w:p w:rsidR="007620A8" w:rsidRDefault="007620A8" w:rsidP="00762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АУКЦИОН</w:t>
      </w: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заключению договора на размещение нестационарного торгового объекта на территории </w:t>
      </w: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</w:p>
    <w:p w:rsidR="007620A8" w:rsidRDefault="007620A8" w:rsidP="00762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spacing w:line="360" w:lineRule="auto"/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</w:p>
    <w:p w:rsidR="007620A8" w:rsidRDefault="007620A8" w:rsidP="007620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Свеча </w:t>
      </w:r>
    </w:p>
    <w:p w:rsidR="007620A8" w:rsidRDefault="007620A8" w:rsidP="00762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</w:p>
    <w:p w:rsidR="007620A8" w:rsidRDefault="007620A8" w:rsidP="007620A8">
      <w:pPr>
        <w:pStyle w:val="a8"/>
        <w:ind w:firstLine="709"/>
        <w:rPr>
          <w:sz w:val="26"/>
          <w:szCs w:val="26"/>
          <w:lang w:eastAsia="ru-RU"/>
        </w:rPr>
      </w:pPr>
    </w:p>
    <w:p w:rsidR="007620A8" w:rsidRDefault="007620A8" w:rsidP="007620A8">
      <w:pPr>
        <w:tabs>
          <w:tab w:val="left" w:pos="851"/>
        </w:tabs>
        <w:autoSpaceDE w:val="0"/>
        <w:ind w:firstLine="540"/>
        <w:jc w:val="center"/>
        <w:rPr>
          <w:b/>
          <w:sz w:val="28"/>
          <w:szCs w:val="28"/>
        </w:rPr>
      </w:pPr>
      <w:bookmarkStart w:id="0" w:name="bookmark2"/>
      <w:r>
        <w:rPr>
          <w:b/>
          <w:sz w:val="28"/>
          <w:szCs w:val="28"/>
        </w:rPr>
        <w:t>Содержание</w:t>
      </w:r>
    </w:p>
    <w:p w:rsidR="007620A8" w:rsidRDefault="007620A8" w:rsidP="007620A8">
      <w:pPr>
        <w:tabs>
          <w:tab w:val="left" w:pos="851"/>
        </w:tabs>
        <w:autoSpaceDE w:val="0"/>
        <w:ind w:firstLine="540"/>
        <w:jc w:val="center"/>
        <w:rPr>
          <w:b/>
          <w:sz w:val="28"/>
          <w:szCs w:val="28"/>
        </w:rPr>
      </w:pPr>
    </w:p>
    <w:p w:rsidR="007620A8" w:rsidRDefault="007620A8" w:rsidP="007620A8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</w:t>
      </w:r>
      <w:hyperlink r:id="rId4" w:anchor="P315" w:history="1">
        <w:r>
          <w:rPr>
            <w:rStyle w:val="a3"/>
            <w:b w:val="0"/>
            <w:sz w:val="28"/>
            <w:szCs w:val="28"/>
          </w:rPr>
          <w:t>сведения</w:t>
        </w:r>
      </w:hyperlink>
      <w:r>
        <w:rPr>
          <w:b/>
          <w:sz w:val="28"/>
          <w:szCs w:val="28"/>
        </w:rPr>
        <w:t>.</w:t>
      </w:r>
    </w:p>
    <w:p w:rsidR="007620A8" w:rsidRDefault="007620A8" w:rsidP="007620A8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Срок, место и порядок предоставления аукционной документации.</w:t>
      </w:r>
    </w:p>
    <w:p w:rsidR="007620A8" w:rsidRDefault="007620A8" w:rsidP="007620A8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hyperlink r:id="rId5" w:anchor="P372" w:history="1">
        <w:r>
          <w:rPr>
            <w:rStyle w:val="a3"/>
            <w:b w:val="0"/>
            <w:sz w:val="28"/>
            <w:szCs w:val="28"/>
          </w:rPr>
          <w:t>Разъяснение</w:t>
        </w:r>
      </w:hyperlink>
      <w:r>
        <w:rPr>
          <w:sz w:val="28"/>
          <w:szCs w:val="28"/>
        </w:rPr>
        <w:t xml:space="preserve"> положений аукционной документации.</w:t>
      </w:r>
    </w:p>
    <w:p w:rsidR="007620A8" w:rsidRDefault="007620A8" w:rsidP="007620A8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Участники аукциона.</w:t>
      </w:r>
    </w:p>
    <w:p w:rsidR="007620A8" w:rsidRDefault="007620A8" w:rsidP="007620A8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6" w:anchor="P377" w:history="1">
        <w:r>
          <w:rPr>
            <w:rStyle w:val="a3"/>
            <w:b w:val="0"/>
            <w:sz w:val="28"/>
            <w:szCs w:val="28"/>
          </w:rPr>
          <w:t>Подача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заявок на участие в аукционе.</w:t>
      </w:r>
    </w:p>
    <w:p w:rsidR="007620A8" w:rsidRDefault="007620A8" w:rsidP="007620A8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7" w:anchor="P431" w:history="1">
        <w:r>
          <w:rPr>
            <w:rStyle w:val="a3"/>
            <w:b w:val="0"/>
            <w:sz w:val="28"/>
            <w:szCs w:val="28"/>
          </w:rPr>
          <w:t>Порядок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рассмотрения заявок на участие в аукционе.</w:t>
      </w:r>
    </w:p>
    <w:p w:rsidR="007620A8" w:rsidRDefault="007620A8" w:rsidP="007620A8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8" w:anchor="P477" w:history="1">
        <w:r>
          <w:rPr>
            <w:rStyle w:val="a3"/>
            <w:b w:val="0"/>
            <w:sz w:val="28"/>
            <w:szCs w:val="28"/>
          </w:rPr>
          <w:t>Порядок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проведения аукциона.</w:t>
      </w:r>
    </w:p>
    <w:p w:rsidR="007620A8" w:rsidRDefault="007620A8" w:rsidP="007620A8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 аукциона.</w:t>
      </w:r>
    </w:p>
    <w:p w:rsidR="007620A8" w:rsidRDefault="007620A8" w:rsidP="007620A8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9.Заключение договора на размещение нестационарного торгового объекта.</w:t>
      </w: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rFonts w:eastAsia="Calibri"/>
          <w:lang w:eastAsia="en-US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autoSpaceDE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</w:p>
    <w:p w:rsidR="007620A8" w:rsidRDefault="007620A8" w:rsidP="007620A8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Основание проведения открытого аукциона - постановление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«О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размещения нестационарного торгового объекта на территории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области» от 26.06.2025 № 314.</w:t>
      </w:r>
    </w:p>
    <w:p w:rsidR="007620A8" w:rsidRDefault="007620A8" w:rsidP="007620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Форма торгов</w:t>
      </w:r>
      <w:r>
        <w:rPr>
          <w:sz w:val="28"/>
          <w:szCs w:val="28"/>
        </w:rPr>
        <w:t xml:space="preserve"> - открытый аукцион (далее - аукцион).</w:t>
      </w:r>
    </w:p>
    <w:p w:rsidR="007620A8" w:rsidRDefault="007620A8" w:rsidP="007620A8">
      <w:pPr>
        <w:tabs>
          <w:tab w:val="left" w:pos="3671"/>
        </w:tabs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>Наименование организатора, место нахождения, почтовый адрес, адрес электронной почты, номер контактного телефона организатора аукциона, контактное лицо:</w:t>
      </w:r>
      <w:r>
        <w:rPr>
          <w:sz w:val="28"/>
          <w:szCs w:val="28"/>
        </w:rPr>
        <w:t xml:space="preserve">  Администрация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области, 612040, Кировская область,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район,  п. Свеча, ул. Октябрьская, д.20, этаж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5, </w:t>
      </w:r>
      <w:hyperlink r:id="rId9" w:history="1">
        <w:r>
          <w:rPr>
            <w:rStyle w:val="a3"/>
            <w:sz w:val="28"/>
            <w:szCs w:val="28"/>
            <w:lang w:val="en-US"/>
          </w:rPr>
          <w:t>admsvec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kirovreg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(883358) 2-20-66 ,  Сулейманова Елена Николаевна.</w:t>
      </w:r>
    </w:p>
    <w:p w:rsidR="007620A8" w:rsidRDefault="007620A8" w:rsidP="007620A8">
      <w:pPr>
        <w:pStyle w:val="a6"/>
        <w:tabs>
          <w:tab w:val="left" w:pos="6804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Предмет аукциона</w:t>
      </w:r>
      <w:r>
        <w:rPr>
          <w:sz w:val="28"/>
          <w:szCs w:val="28"/>
        </w:rPr>
        <w:t xml:space="preserve"> – право заключения договора на размещение нестационарного торгового объекта на территории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в соответствии со Схемой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области, утвержденной постановлением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от 20.10.2020 № 470  (далее – Схема) на местах Схемы, указанных в извещении 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проведении открытого аукциона на право заключения договора на</w:t>
      </w:r>
      <w:proofErr w:type="gramEnd"/>
      <w:r>
        <w:rPr>
          <w:rFonts w:eastAsia="Calibri"/>
          <w:sz w:val="28"/>
          <w:szCs w:val="28"/>
        </w:rPr>
        <w:t xml:space="preserve"> размещение нестационарного торгового объекта на территории </w:t>
      </w:r>
      <w:proofErr w:type="spellStart"/>
      <w:r>
        <w:rPr>
          <w:rFonts w:eastAsia="Calibri"/>
          <w:sz w:val="28"/>
          <w:szCs w:val="28"/>
        </w:rPr>
        <w:t>Свечинского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округа Кировской области (далее – извещение).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b/>
          <w:sz w:val="28"/>
          <w:szCs w:val="28"/>
        </w:rPr>
        <w:t xml:space="preserve">Форма, сроки и порядок оплаты </w:t>
      </w:r>
      <w:r>
        <w:rPr>
          <w:sz w:val="28"/>
          <w:szCs w:val="28"/>
        </w:rPr>
        <w:t>победителем аукциона права размещения нестационарного торгового объекта – указаны в извещении.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b/>
          <w:sz w:val="28"/>
          <w:szCs w:val="28"/>
        </w:rPr>
        <w:t>Извещение о проведении аукциона</w:t>
      </w:r>
      <w:r>
        <w:rPr>
          <w:sz w:val="28"/>
          <w:szCs w:val="28"/>
        </w:rPr>
        <w:t xml:space="preserve"> не менее чем за тридцать календарных дней до его проведения размещается на официальном Интернет - сайте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 https://svechamo.gosuslugi.ru/ (далее – официальный интернет - сайт).</w:t>
      </w:r>
      <w:proofErr w:type="gramEnd"/>
    </w:p>
    <w:p w:rsidR="007620A8" w:rsidRDefault="007620A8" w:rsidP="007620A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b/>
          <w:sz w:val="28"/>
          <w:szCs w:val="28"/>
        </w:rPr>
        <w:t>Срок, в течение которого организатор аукциона вправе отказаться от проведения аукциона:</w:t>
      </w:r>
    </w:p>
    <w:p w:rsidR="007620A8" w:rsidRDefault="007620A8" w:rsidP="007620A8">
      <w:pPr>
        <w:pStyle w:val="ConsPlusNormal0"/>
        <w:widowControl/>
        <w:tabs>
          <w:tab w:val="left" w:pos="3671"/>
        </w:tabs>
        <w:snapToGrid w:val="0"/>
        <w:ind w:firstLine="567"/>
        <w:jc w:val="both"/>
        <w:rPr>
          <w:rStyle w:val="labelbodytext11"/>
          <w:rFonts w:ascii="Times New Roman" w:hAnsi="Times New Roman"/>
          <w:bCs/>
          <w:sz w:val="28"/>
          <w:szCs w:val="28"/>
        </w:rPr>
      </w:pPr>
      <w:r>
        <w:rPr>
          <w:rStyle w:val="labelbodytext11"/>
          <w:rFonts w:ascii="Times New Roman" w:hAnsi="Times New Roman"/>
          <w:bCs/>
          <w:sz w:val="28"/>
          <w:szCs w:val="28"/>
        </w:rPr>
        <w:t>Организатор аукциона вправе отказаться от проведения аукциона не позднее,  чем за три дня до даты проведения аукциона. Извещение об отказе от проведения аукциона размещается на официальном интернет - сайте в течение трех рабочих дней со дня  принятия решения об отказе от проведения аукциона. Решение об отказе  от проведения аукциона оформляется постановлением администрации.</w:t>
      </w:r>
    </w:p>
    <w:p w:rsidR="007620A8" w:rsidRDefault="007620A8" w:rsidP="007620A8">
      <w:pPr>
        <w:pStyle w:val="ConsPlusNormal0"/>
        <w:widowControl/>
        <w:tabs>
          <w:tab w:val="left" w:pos="567"/>
        </w:tabs>
        <w:snapToGrid w:val="0"/>
        <w:ind w:firstLine="851"/>
        <w:jc w:val="both"/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1.8.</w:t>
      </w:r>
      <w:r>
        <w:rPr>
          <w:rStyle w:val="labelbodytext11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Организатор аукциона вправе принять решение о внесении изменений</w:t>
      </w:r>
      <w:r>
        <w:rPr>
          <w:rFonts w:ascii="Times New Roman" w:hAnsi="Times New Roman"/>
          <w:sz w:val="28"/>
          <w:szCs w:val="28"/>
        </w:rPr>
        <w:t xml:space="preserve"> в извещение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рабочих дней до даты окончания срока подачи заявок на участие в аукционе и в течение одного дня с даты принятия указанного решения такие изменения размещаются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организатором аукциона на официальном интернет -  сайте. При этом срок подачи заявок на участие в аукционе должен быть продлен таким образом, чтобы </w:t>
      </w:r>
      <w:proofErr w:type="gramStart"/>
      <w:r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интернет - сайте  внесенных изменений в извещение до даты окончания подачи заявок на участие в аукционе он составлял не менее пятнадцати дней.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b/>
          <w:sz w:val="28"/>
          <w:szCs w:val="28"/>
        </w:rPr>
        <w:t>Протокол о результатах аукциона</w:t>
      </w:r>
      <w:r>
        <w:rPr>
          <w:sz w:val="28"/>
          <w:szCs w:val="28"/>
        </w:rPr>
        <w:t xml:space="preserve"> размещается на официальном интернет - сайте в течение одного рабочего дня со дня подписания данного протокола.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b/>
          <w:sz w:val="28"/>
          <w:szCs w:val="28"/>
        </w:rPr>
        <w:t>Аукционы</w:t>
      </w:r>
      <w:r>
        <w:rPr>
          <w:sz w:val="28"/>
          <w:szCs w:val="28"/>
        </w:rPr>
        <w:t xml:space="preserve"> проводятся при наличии не менее двух участников по предмету аукциона (по каждому лоту).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на участие в аукционе или не подано ни одной заявки на участие в аукционе.</w:t>
      </w:r>
    </w:p>
    <w:p w:rsidR="007620A8" w:rsidRDefault="007620A8" w:rsidP="007620A8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bookmarkStart w:id="1" w:name="P353"/>
      <w:bookmarkEnd w:id="1"/>
    </w:p>
    <w:p w:rsidR="007620A8" w:rsidRDefault="007620A8" w:rsidP="007620A8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Срок, место и порядок предоставления аукционной документации 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</w:p>
    <w:p w:rsidR="007620A8" w:rsidRDefault="007620A8" w:rsidP="007620A8">
      <w:pPr>
        <w:ind w:right="18" w:firstLine="851"/>
        <w:jc w:val="both"/>
        <w:rPr>
          <w:rStyle w:val="labelbodytext11"/>
          <w:b/>
          <w:caps/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Аукционная     документация предоставляется в рабочие дни со дня, следующего за размещением извещения о проведении открытого аукциона на основании заявления любого заинтересованного лица, поданного в письменной форме, время выдачи с 8-00 до 17-00 часов, в пятницу с 8-00 до 16-00, обед с 12-00 до 12-48,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612040,Кировская область,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район,  п. Свеча, ул. Октябрьская, д.20, этаж 1, </w:t>
      </w:r>
      <w:proofErr w:type="spellStart"/>
      <w:r>
        <w:rPr>
          <w:sz w:val="28"/>
          <w:szCs w:val="28"/>
        </w:rPr>
        <w:t>каб</w:t>
      </w:r>
      <w:proofErr w:type="spellEnd"/>
      <w:proofErr w:type="gramEnd"/>
      <w:r>
        <w:rPr>
          <w:sz w:val="28"/>
          <w:szCs w:val="28"/>
        </w:rPr>
        <w:t xml:space="preserve">. № 5. Пакет документов  претенденту направляется  </w:t>
      </w:r>
      <w:r>
        <w:rPr>
          <w:rStyle w:val="labelbodytext11"/>
          <w:color w:val="000000"/>
          <w:sz w:val="28"/>
          <w:szCs w:val="28"/>
        </w:rPr>
        <w:t>в течение 2-х рабочих дней после поступления письменного запроса о предоставлении документации. Плата за предоставление документации об аукционе не предусмотрена.</w:t>
      </w:r>
    </w:p>
    <w:p w:rsidR="007620A8" w:rsidRDefault="007620A8" w:rsidP="007620A8">
      <w:pPr>
        <w:autoSpaceDE w:val="0"/>
        <w:ind w:firstLine="851"/>
        <w:jc w:val="both"/>
      </w:pPr>
      <w:r>
        <w:rPr>
          <w:sz w:val="28"/>
          <w:szCs w:val="28"/>
        </w:rPr>
        <w:t xml:space="preserve">Документация об открытом аукционе размещается на официальном интернет - сайте одновременно с размещением извещения о проведении открытого аукциона. 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Изменения в документацию об открытом аукционе вносятся организатором аукциона в срок не позднее, чем пять дней до даты окончания приема заявок на участие в открытом аукционе и признания заявителей участниками аукциона. Вносимые в извещение изменения не позднее дня, следующего после дня их внесения, публикуются на официальном интернет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айте администрации. 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не несет ответственности в случае, если претендент не ознакомился с извещением, а так же с внесенными в него изменениями, размещенными на официальном интернет - сайте администрации.</w:t>
      </w:r>
    </w:p>
    <w:p w:rsidR="007620A8" w:rsidRDefault="007620A8" w:rsidP="007620A8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bookmarkStart w:id="2" w:name="P360"/>
      <w:bookmarkStart w:id="3" w:name="P372"/>
      <w:bookmarkEnd w:id="2"/>
      <w:bookmarkEnd w:id="3"/>
    </w:p>
    <w:p w:rsidR="007620A8" w:rsidRDefault="007620A8" w:rsidP="007620A8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Разъяснение положений аукционной документации 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Заявитель на участие в аукционе (далее - заявитель) вправе направить организатору аукциона в письменной форме запрос о разъяснении положений аукционной документации (Приложение №1). Организатор аукциона в течение двух рабочих дней со дня поступления указанного запроса направляет в письменной форме разъяснения положений аукционной документации, если указанный запрос поступил организатору аукциона не позднее, чем за пять рабочих дней до дня окончания подачи заявок на участие в аукционе.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В течение одного дня со дня направления разъяснения положений аукционной документации по запросу претендента на участие в аукционе</w:t>
      </w:r>
      <w:proofErr w:type="gramEnd"/>
      <w:r>
        <w:rPr>
          <w:sz w:val="28"/>
          <w:szCs w:val="28"/>
        </w:rPr>
        <w:t xml:space="preserve"> такое разъяснение размещается на официальном интернет - сайте администрации с указанием предмета запроса, но без указания претендента на участие в аукционе, от которого поступил запрос.</w:t>
      </w:r>
    </w:p>
    <w:p w:rsidR="007620A8" w:rsidRDefault="007620A8" w:rsidP="007620A8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bookmarkStart w:id="4" w:name="P377"/>
      <w:bookmarkEnd w:id="4"/>
    </w:p>
    <w:p w:rsidR="007620A8" w:rsidRDefault="007620A8" w:rsidP="007620A8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аукциона</w:t>
      </w:r>
    </w:p>
    <w:p w:rsidR="007620A8" w:rsidRDefault="007620A8" w:rsidP="007620A8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</w:p>
    <w:p w:rsidR="007620A8" w:rsidRDefault="007620A8" w:rsidP="0076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аукциона могут быть юридические лица, индивидуальные предприниматели, осуществляющие торговую деятельность.</w:t>
      </w:r>
    </w:p>
    <w:p w:rsidR="007620A8" w:rsidRDefault="007620A8" w:rsidP="007620A8">
      <w:pPr>
        <w:ind w:firstLine="709"/>
        <w:jc w:val="both"/>
        <w:rPr>
          <w:sz w:val="28"/>
          <w:szCs w:val="28"/>
        </w:rPr>
      </w:pPr>
    </w:p>
    <w:p w:rsidR="007620A8" w:rsidRDefault="007620A8" w:rsidP="007620A8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5. Подача заявок на участие в аукционе</w:t>
      </w:r>
    </w:p>
    <w:p w:rsidR="007620A8" w:rsidRDefault="007620A8" w:rsidP="007620A8">
      <w:pPr>
        <w:autoSpaceDE w:val="0"/>
        <w:ind w:firstLine="851"/>
        <w:jc w:val="both"/>
        <w:rPr>
          <w:b/>
          <w:sz w:val="28"/>
          <w:szCs w:val="28"/>
        </w:rPr>
      </w:pP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bookmarkStart w:id="5" w:name="P380"/>
      <w:bookmarkEnd w:id="5"/>
      <w:r>
        <w:rPr>
          <w:sz w:val="28"/>
          <w:szCs w:val="28"/>
        </w:rPr>
        <w:t>5.1. Прием заявок на участие в аукционе (далее – заявка) начинается с даты, указанной в извещении, которое подлежит опубликованию на официальном интернет - сайте</w:t>
      </w:r>
      <w:bookmarkStart w:id="6" w:name="P381"/>
      <w:bookmarkEnd w:id="6"/>
      <w:r>
        <w:rPr>
          <w:sz w:val="28"/>
          <w:szCs w:val="28"/>
        </w:rPr>
        <w:t>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Прием заявок на участие в аукционе прекращается в срок, указанный в извещении о проведении открытого аукциона (с учетом всех изменений 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кциона).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Заявки на участие в аукционе подаются по адресу, указанному в извещении.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Участник торгов вправе подать только одну заявку в отношении каждого предмета аукциона (лота).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Требования к заявке на участие в аукционе.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5.5.1. Заявка должна содержать: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дату извещения и номер заявленного лота;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заявителе, в том числе наименование, сведения об организационно-правовой форме, место нахождения юридического лица либо фамилию, имя, отчество и место жительства, паспортные данные (для физических лиц), почтовый адрес, банковские реквизиты, номер контактного телефона.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5.5.2. К заявке прилагаются следующие документы:</w:t>
      </w:r>
    </w:p>
    <w:p w:rsidR="007620A8" w:rsidRDefault="007620A8" w:rsidP="007620A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полученные не ранее чем за  6 месяцев до даты размещения на официальном интернет- сайте 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кциона:</w:t>
      </w:r>
    </w:p>
    <w:p w:rsidR="007620A8" w:rsidRDefault="007620A8" w:rsidP="007620A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личность заявителя;</w:t>
      </w:r>
    </w:p>
    <w:p w:rsidR="007620A8" w:rsidRDefault="007620A8" w:rsidP="007620A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-выписка из Единого государственного реестра юридических лиц - для юридических лиц;</w:t>
      </w:r>
    </w:p>
    <w:p w:rsidR="007620A8" w:rsidRDefault="007620A8" w:rsidP="007620A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выписка из Единого государственного реестра индивидуальных предпринимателей - для индивидуальных предпринимателей:</w:t>
      </w:r>
    </w:p>
    <w:p w:rsidR="007620A8" w:rsidRDefault="007620A8" w:rsidP="007620A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подтверждающего внесение задатка;</w:t>
      </w:r>
    </w:p>
    <w:p w:rsidR="007620A8" w:rsidRDefault="007620A8" w:rsidP="007620A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полномочия лица на осуществление действий от имени заявителя, для юридического лица (копия решения о назначении или об избрании,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</w:r>
    </w:p>
    <w:p w:rsidR="007620A8" w:rsidRDefault="007620A8" w:rsidP="007620A8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заверенная печатью заявителя и подписанная руководителем (для юридического лица) или уполномоченным этим руководителем лицом, либо нотариально заверенную копию такой доверенности.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указанная доверенность подписана лицом, уполномоченным руководителем, пакет документов должен содержать также документ, подтверждающий полномочия такого лица.</w:t>
      </w:r>
    </w:p>
    <w:p w:rsidR="007620A8" w:rsidRDefault="007620A8" w:rsidP="007620A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5.5.3. Все документы, входящие в состав заявки на участие в аукционе, должны быть составлены на русском языке.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5.5.4. Все документы, представленные заявителями в копиях, должны быть скреплены печатью и заверены подписью заявителя либо уполномоченного им лица.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насчитывающие более одного листа, должны быть заверены подписью и печатью, либо пронумерованы, прошиты, скреплены печатью и заверены подписью заявителя или уполномоченного лица.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5.5.5. Представленные в составе заявки документы не возвращаются заявителю.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Порядок подачи заявки.</w:t>
      </w:r>
    </w:p>
    <w:p w:rsidR="007620A8" w:rsidRDefault="007620A8" w:rsidP="007620A8">
      <w:pPr>
        <w:pStyle w:val="a6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5.6.1. Заявитель подает заявку с документами, входящими в состав заявки по форме, которая установлена в извещении (</w:t>
      </w:r>
      <w:hyperlink r:id="rId10" w:anchor="P643" w:history="1">
        <w:r>
          <w:rPr>
            <w:rStyle w:val="a3"/>
            <w:b w:val="0"/>
            <w:sz w:val="28"/>
            <w:szCs w:val="28"/>
          </w:rPr>
          <w:t>Приложение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1,2.).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Каждая заявка на участие в аукционе, поступившая в срок, указанный в </w:t>
      </w:r>
      <w:hyperlink r:id="rId11" w:anchor="P380" w:history="1">
        <w:r>
          <w:rPr>
            <w:rStyle w:val="a3"/>
            <w:b w:val="0"/>
            <w:sz w:val="28"/>
            <w:szCs w:val="28"/>
          </w:rPr>
          <w:t>пунктах 5.1.</w:t>
        </w:r>
      </w:hyperlink>
      <w:r>
        <w:rPr>
          <w:b/>
          <w:sz w:val="28"/>
          <w:szCs w:val="28"/>
        </w:rPr>
        <w:t xml:space="preserve">, </w:t>
      </w:r>
      <w:hyperlink r:id="rId12" w:anchor="P381" w:history="1">
        <w:r>
          <w:rPr>
            <w:rStyle w:val="a3"/>
            <w:b w:val="0"/>
            <w:sz w:val="28"/>
            <w:szCs w:val="28"/>
          </w:rPr>
          <w:t>5.2</w:t>
        </w:r>
      </w:hyperlink>
      <w:r>
        <w:rPr>
          <w:sz w:val="28"/>
          <w:szCs w:val="28"/>
        </w:rPr>
        <w:t xml:space="preserve"> аукционной документации,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7620A8" w:rsidRDefault="007620A8" w:rsidP="007620A8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5.6.3. Заявитель вправе отозвать принятую организатором аукциона заявку на участие в аукционе до окончания срока приема заявок, направив письменное уведомление об отзыве заявки организатору аукциона.</w:t>
      </w:r>
    </w:p>
    <w:p w:rsidR="007620A8" w:rsidRDefault="007620A8" w:rsidP="007620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отзыве заявки регистрируется организатором аукциона в журнале приема заявок в день его получения.</w:t>
      </w:r>
    </w:p>
    <w:p w:rsidR="007620A8" w:rsidRDefault="007620A8" w:rsidP="007620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5.6.4.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окончания срока приема заявок задаток возвращается в порядке, установленном для участников аукциона.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5.6.5.Заявки на участие в аукционе, полученные после окончания срока приема заявок, установленного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не рассматриваются и в тот же день возвращаются заявителям, подавшим такие заявки.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 случае если по окончании срока подачи заявок на участие в аукционе подана только одна заявка на участие в аукционе, указанная заявка рассматривается аукционной комиссией. </w:t>
      </w:r>
      <w:proofErr w:type="gramStart"/>
      <w:r>
        <w:rPr>
          <w:sz w:val="28"/>
          <w:szCs w:val="28"/>
        </w:rPr>
        <w:t>В случае если указанная заявка соответствует всем требованиям и условиям, предусмотренным документацией об аукционе, принимается решение о заключении договора с лицом, подавшим единственную заявку на участие в аукционе, по начальной (минимальной) цене лота, указанной в извещении о проведении аукциона, при условии внесения им платы за право размещения нестационарного торгового объекта в установленные сроки.</w:t>
      </w:r>
      <w:proofErr w:type="gramEnd"/>
    </w:p>
    <w:p w:rsidR="007620A8" w:rsidRDefault="007620A8" w:rsidP="007620A8">
      <w:pPr>
        <w:pStyle w:val="a6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20A8" w:rsidRDefault="007620A8" w:rsidP="007620A8">
      <w:pPr>
        <w:pStyle w:val="a6"/>
        <w:tabs>
          <w:tab w:val="left" w:pos="567"/>
        </w:tabs>
        <w:spacing w:after="0"/>
        <w:jc w:val="center"/>
        <w:rPr>
          <w:b/>
          <w:sz w:val="28"/>
          <w:szCs w:val="28"/>
        </w:rPr>
      </w:pPr>
      <w:bookmarkStart w:id="7" w:name="P413"/>
      <w:bookmarkStart w:id="8" w:name="P423"/>
      <w:bookmarkStart w:id="9" w:name="P431"/>
      <w:bookmarkEnd w:id="7"/>
      <w:bookmarkEnd w:id="8"/>
      <w:bookmarkEnd w:id="9"/>
      <w:r>
        <w:rPr>
          <w:b/>
          <w:sz w:val="28"/>
          <w:szCs w:val="28"/>
        </w:rPr>
        <w:t>6. Порядок рассмотрения заявок на участие в аукционе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Для проведения аукциона и выявления победителей организатором торгов создается аукционная комиссия по проведению аукционов на право заключения договоров на размещение нестационарных торговых объектов на территории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(далее – комиссия). Состав комиссии утвержден постановлением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Кировской области «О создан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кционной комиссии по проведению аукционов на право заключения договоров на размещение нестационарных торговых объектов на территории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области» от 27.12.2023 № 892.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вправе принимать решения (имеет кворум), если на ее заседании присутствуют не менее пятидесяти процентов от общего числа ее членов.</w:t>
      </w:r>
      <w:bookmarkStart w:id="10" w:name="_GoBack"/>
      <w:bookmarkEnd w:id="10"/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Комиссия принимает решения по вопросам, входящим в ее компетенцию, путем открытого голосования простым большинством голосов от числа присутствующих членов Комиссии. При равенстве голосов голос председателя комиссии является решающим.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Комиссия в назначенные в  извещении день, место и время рассматривает заявки на участие в аукционе, в случаях, предусмотренных законодательством и аукционной документацией, признает аукцион несостоявшимся, направляет протокол аукционной комиссии победителю аукциона или единственному участнику аукциона, осуществляет иные функции, возложенные на аукционную комиссию.</w:t>
      </w:r>
      <w:proofErr w:type="gramEnd"/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Срок рассмотрения заявок на участие в аукционе не может превышать пять рабочих дней со дня окончания срока  подачи заявок на участие в аукционе.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На основании результатов рассмотрения заявок на участие в аукционе комиссией принимается решение: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допуске к участию в аукционе заявителя и о признании заявителя участником аукциона;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допуске заявителя к участию в аукционе.</w:t>
      </w:r>
    </w:p>
    <w:p w:rsidR="007620A8" w:rsidRDefault="007620A8" w:rsidP="007620A8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При рассмотрении заявок комиссией заявитель не допускается к участию в аукционе в следующих случаях: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представление необходимых для участия в аукционе документов или представление недостоверных сведений;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поступление задатка на дату рассмотрения заявок;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-подача заявки лицом, которое не имеет права быть участником аукциона;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заявки на участие в аукционе внесено за участника аукциона третьим лицом;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-несоответствие заявки форме, указанной в извещении.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рассмотрения заявок оформляются протоколом рассмотрения заявок на участие в аукционе, который  подписывается присутствующими на заседании членами комиссии и размещается на официальном интернет - сайте в течение рабочего дня, следующего за днем его подписания.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 рассмотрения заявок должен содержать сведения о претендентах,  датах подачи заявок, внесенных задатках, а также решение о допуске заявителя к участию в аукционе и признании его участником аукциона или об отказе в допуске к участию в аукционе с указанием причин отказа. Заявителям направляются уведомления о принятых комиссией решениях не позднее дня, следующего за днем подписания указанного протокола.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рассмотрения заявок аукцион (лот) признается несостоявшимся в случае: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на основании результатов рассмотрения заявок на участие в аукционе принято решение: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отказе в допуске к участию в аукционе всех заявителей;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допуске к участию в аукционе и признании участником аукциона только одного заявителя;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не подано ни одной заявки на участие в аукционе.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если аукцион признан несостоявшимся и только один претендент признан участником аукциона, принимается решение о заключении договора на размещение нестационарного торгового объекта с лицом, подавшим единственную заявку на участие в аукционе по начальной цене лота, указанной в извещении.</w:t>
      </w:r>
    </w:p>
    <w:p w:rsidR="007620A8" w:rsidRDefault="007620A8" w:rsidP="007620A8">
      <w:pPr>
        <w:autoSpaceDE w:val="0"/>
        <w:ind w:firstLine="851"/>
        <w:jc w:val="both"/>
        <w:rPr>
          <w:sz w:val="28"/>
          <w:szCs w:val="28"/>
        </w:rPr>
      </w:pPr>
    </w:p>
    <w:p w:rsidR="007620A8" w:rsidRDefault="007620A8" w:rsidP="007620A8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bookmarkStart w:id="11" w:name="P477"/>
      <w:bookmarkEnd w:id="11"/>
      <w:r>
        <w:rPr>
          <w:b/>
          <w:sz w:val="28"/>
          <w:szCs w:val="28"/>
        </w:rPr>
        <w:t>7. Порядок проведения аукциона</w:t>
      </w:r>
    </w:p>
    <w:p w:rsidR="007620A8" w:rsidRDefault="007620A8" w:rsidP="007620A8">
      <w:pPr>
        <w:tabs>
          <w:tab w:val="left" w:pos="4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 Аукцион проводится в день, время  и в месте, указанные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кциона, но не позднее 5(пяти) рабочих дней с момента рассмотрения заявок. 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аукционе могут участвовать только заявители, признанные участниками аукциона по результатам рассмотрения заявок на участие в </w:t>
      </w:r>
      <w:r>
        <w:rPr>
          <w:rFonts w:ascii="Times New Roman" w:hAnsi="Times New Roman"/>
          <w:sz w:val="28"/>
          <w:szCs w:val="28"/>
        </w:rPr>
        <w:lastRenderedPageBreak/>
        <w:t>аукционе.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 Аукцион проводится аукционистом, выбранным из состава комиссии в присутствии  участников аукциона. 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 Комиссия непосредственно перед началом проведения аукциона регистрирует явившихся на аукцион участников аукциона (их представителей) и  проверяет документы и полномочия, необходимые для участия в аукционе. При регистрации участник аукциона обязан предъявить документ, удостоверяющий личность. Уполномоченные представители участников аукциона должны предоставить подлинник доверенности, выданной от имени участника аукциона, либо нотариально удостоверенную копию доверенности, и документы, подтверждающие личность. 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При регистрации участники аукциона или представители участников аукциона получают карточки с номерами, которые соответствуют регистрационному номеру заявки такого участника (далее - карточка). 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 Аукцион проводится путем увеличения участниками аукциона начальной (минимальной) цены договора, указанной в извещении о проведении открытого аукциона на «шаг аукциона». 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 «Шаг аукциона» устанавливается в размере 5(пяти) процентов начальной (минимальной) цены договора, указанной в извещении.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 Аукцион проводится в следующем порядке: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объявляет о начале проведения аукциона и разъясняет участникам аукциона  правила и порядок предоставления открытых по форме подач предложений, о цене выставленных на аукцион лотов по предоставлению права на размещение нестационарных торговых объектов, оглашает размер «шага аукциона» и представляет аукциониста. 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Аукционист объявляет номер лота (в случае проведения аукциона по нескольким лотам), описание предмета аукциона (лота), включая место размещения НТО, «шаг аукциона», начальную цену договора.</w:t>
      </w:r>
    </w:p>
    <w:p w:rsidR="007620A8" w:rsidRDefault="007620A8" w:rsidP="007620A8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оглашения начальной цены лота аукционист предлагает участникам аукциона заявить эту цену путем поднятия карточек, если они готовы заключить договор по объявленной цене.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заявления участниками аукциона начальной цены аукционист предлагает участникам заявлять свои предложения по цене договора, превышающей начальную цену. Каждая последующая цена, превышающая предыдущую цену на «шаг аукциона», </w:t>
      </w:r>
      <w:proofErr w:type="gramStart"/>
      <w:r>
        <w:rPr>
          <w:sz w:val="28"/>
          <w:szCs w:val="28"/>
        </w:rPr>
        <w:t>заявляется</w:t>
      </w:r>
      <w:proofErr w:type="gramEnd"/>
      <w:r>
        <w:rPr>
          <w:sz w:val="28"/>
          <w:szCs w:val="28"/>
        </w:rPr>
        <w:t xml:space="preserve"> участниками аукциона путем поднятия карточек и ее оглашения. 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Аукционист называет номер карточки участника аукциона, который первым поднял карточку после объявления аукционистом  начальной цены договора, а также новую цену договора, увеличенную на «шаг аукциона»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  <w:r>
        <w:rPr>
          <w:sz w:val="28"/>
          <w:szCs w:val="28"/>
        </w:rPr>
        <w:tab/>
        <w:t xml:space="preserve"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 и не заявил последующую цену. 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 Победителем аукциона признается участник аукциона, предложивший наиболее высокую цену договора.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 Аукцион признается несостоявшимся в следующих случаях: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на аукцион не явились все допущенные к участию в аукционе участники аукциона;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аукционе принял участие (явился) только один участник. При этом договор заключается по начальной цене договора;</w:t>
      </w:r>
    </w:p>
    <w:p w:rsidR="007620A8" w:rsidRDefault="007620A8" w:rsidP="007620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один из участников аукциона после троекратного объявления начальной цены договора не поднял карточку.</w:t>
      </w:r>
    </w:p>
    <w:p w:rsidR="007620A8" w:rsidRDefault="007620A8" w:rsidP="007620A8">
      <w:pPr>
        <w:pStyle w:val="ConsPlusNormal0"/>
        <w:spacing w:before="2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Подведение итогов аукциона</w:t>
      </w:r>
    </w:p>
    <w:p w:rsidR="007620A8" w:rsidRDefault="007620A8" w:rsidP="007620A8">
      <w:pPr>
        <w:pStyle w:val="ConsPlusNormal0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Результаты аукциона оформляются протоколом об итогах аукциона, в котором указываются: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 о месте, дате и времени проведения аукциона;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-предмет аукциона;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 об участниках аукциона,  начальной цене договора, последнем и предпоследнем предложениях о цене договора;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-наименование и место нахождения (для юридического лица), фамилия, имя и (при наличии) отчество, место жительства (для индивидуальных предпринимателей,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>) победителя аукциона и участника аукциона, сделавшего предпоследнее предложение о цене предмета аукциона.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 Протокол об итогах аукциона составляется в двух экземплярах, один из которых передается победителю аукциона.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итогах аукциона подписывается в день проведения аукциона и размещается на официальном интернет - сайте в течение одного рабочего дня со дня подписания данного протокола.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 Извещения и протоколы, составленные в ходе проведения аукционов, хранятся организатором аукциона не менее трех лет.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5 (пяти) рабочих дней со дня подписания протокола об итогах аукциона организатор аукциона обязан возвратить задатки участникам аукциона не победивших в нем.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0A8" w:rsidRDefault="007620A8" w:rsidP="007620A8">
      <w:pPr>
        <w:pStyle w:val="ConsPlusNormal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Заключение договора на размещение нестационарного торгового объекта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 Протокол об итогах аукциона является основанием для заключения организатором аукциона договора с победителем аукциона.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 Организатор аукциона в течение 5(пяти) дней со дня подписания протокола об итогах аукциона обязан направить проект  договора в двух экземплярах победителю аукциона.</w:t>
      </w:r>
    </w:p>
    <w:p w:rsidR="007620A8" w:rsidRDefault="007620A8" w:rsidP="007620A8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lastRenderedPageBreak/>
        <w:t xml:space="preserve">9.3 </w:t>
      </w:r>
      <w:r>
        <w:rPr>
          <w:color w:val="212121"/>
          <w:sz w:val="28"/>
          <w:szCs w:val="28"/>
        </w:rPr>
        <w:t>Победитель аукциона обязан подписать договор и передать его организатору аукциона не позднее 5 (пяти) календарных  дней со дня получения от организатора аукциона экземпляра протокола об итогах аукциона и проекта договора.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 Договор заключается в срок не позднее 10(десяти) дней со дня подписания протокола об итогах проведения аукциона.</w:t>
      </w:r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9.5 Задаток, внесенный лицом, признанным победителем аукциона, задаток, внесенный лицом, являющимся единственным участником или единственным принявшим участие в аукционе, с которыми заключается договор, засчитывается в счет исполнения обязательств по заключенному договору.</w:t>
      </w:r>
      <w:proofErr w:type="gramEnd"/>
    </w:p>
    <w:p w:rsidR="007620A8" w:rsidRDefault="007620A8" w:rsidP="007620A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</w:t>
      </w:r>
      <w:proofErr w:type="gramStart"/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случае, если победитель аукциона или единственный принявший участие в аукционе участник в срок, предусмотренный настоящим Порядком, не представил организатору аукциона подписанный договор, в таком случае он признается уклонившимся от заключения договора.</w:t>
      </w:r>
    </w:p>
    <w:p w:rsidR="007620A8" w:rsidRDefault="007620A8" w:rsidP="007620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9.7</w:t>
      </w:r>
      <w:proofErr w:type="gramStart"/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случае, если </w:t>
      </w:r>
      <w:r>
        <w:rPr>
          <w:color w:val="000000"/>
          <w:sz w:val="28"/>
          <w:szCs w:val="28"/>
        </w:rPr>
        <w:t xml:space="preserve">победитель аукциона отказался от заключения либо не заключил договор в срок не позднее 10 (десяти) дней со дня подписания протокола об итогах аукциона, </w:t>
      </w:r>
      <w:r>
        <w:rPr>
          <w:color w:val="212121"/>
          <w:sz w:val="28"/>
          <w:szCs w:val="28"/>
        </w:rPr>
        <w:t>з</w:t>
      </w:r>
      <w:r>
        <w:rPr>
          <w:color w:val="000000"/>
          <w:sz w:val="28"/>
          <w:szCs w:val="28"/>
        </w:rPr>
        <w:t>адаток победителю аукциона, как уклонившемуся от заключения договора, не возвращается.</w:t>
      </w:r>
    </w:p>
    <w:p w:rsidR="007620A8" w:rsidRDefault="007620A8" w:rsidP="007620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9.8 </w:t>
      </w:r>
      <w:r>
        <w:rPr>
          <w:color w:val="212121"/>
          <w:sz w:val="28"/>
          <w:szCs w:val="28"/>
        </w:rPr>
        <w:t>Организатор аукциона в течение 2 (двух) рабочих дней после истечения срока подписания договора победителем аукциона составляет протокол об отказе от заключения договора.</w:t>
      </w:r>
    </w:p>
    <w:p w:rsidR="007620A8" w:rsidRDefault="007620A8" w:rsidP="007620A8">
      <w:pPr>
        <w:autoSpaceDE w:val="0"/>
        <w:autoSpaceDN w:val="0"/>
        <w:adjustRightInd w:val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>9.9. Протокол об отказе от заключения договора размещается организатором аукциона на официальном интернет -  сайте не позднее дня, следующего после дня подписания указанного протокола.</w:t>
      </w:r>
    </w:p>
    <w:p w:rsidR="007620A8" w:rsidRDefault="007620A8" w:rsidP="007620A8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9.10</w:t>
      </w:r>
      <w:proofErr w:type="gramStart"/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В</w:t>
      </w:r>
      <w:proofErr w:type="gramEnd"/>
      <w:r>
        <w:rPr>
          <w:color w:val="212121"/>
          <w:sz w:val="28"/>
          <w:szCs w:val="28"/>
        </w:rPr>
        <w:t xml:space="preserve"> случае уклонения победителя аукциона от заключения договора, организатор аукциона вправе заключить договор с участником аукциона, сделавшим предпоследнее предложение по цене договора, либо провести новый аукцион в порядке, установленном постановлением администрации </w:t>
      </w:r>
      <w:proofErr w:type="spellStart"/>
      <w:r>
        <w:rPr>
          <w:color w:val="212121"/>
          <w:sz w:val="28"/>
          <w:szCs w:val="28"/>
        </w:rPr>
        <w:t>Свечинского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округа Кировской области от 26.12.2023 №889.</w:t>
      </w:r>
    </w:p>
    <w:p w:rsidR="007620A8" w:rsidRDefault="007620A8" w:rsidP="007620A8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9.11. Форма проекта договора является приложением 3 к извещению.</w:t>
      </w:r>
    </w:p>
    <w:p w:rsidR="007620A8" w:rsidRDefault="007620A8" w:rsidP="007620A8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7620A8" w:rsidRDefault="007620A8" w:rsidP="007620A8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8"/>
          <w:szCs w:val="28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8"/>
          <w:szCs w:val="28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8"/>
          <w:szCs w:val="28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8"/>
          <w:szCs w:val="28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8"/>
          <w:szCs w:val="28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8"/>
          <w:szCs w:val="28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left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b w:val="0"/>
          <w:bCs w:val="0"/>
          <w:sz w:val="26"/>
          <w:szCs w:val="26"/>
        </w:rPr>
      </w:pPr>
    </w:p>
    <w:p w:rsidR="007620A8" w:rsidRDefault="007620A8" w:rsidP="007620A8">
      <w:pPr>
        <w:pStyle w:val="2"/>
        <w:tabs>
          <w:tab w:val="clear" w:pos="432"/>
          <w:tab w:val="left" w:pos="708"/>
        </w:tabs>
        <w:spacing w:after="0"/>
        <w:ind w:left="5103" w:firstLine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Приложение № 1</w:t>
      </w:r>
    </w:p>
    <w:p w:rsidR="007620A8" w:rsidRDefault="007620A8" w:rsidP="007620A8">
      <w:pPr>
        <w:pStyle w:val="2"/>
        <w:tabs>
          <w:tab w:val="clear" w:pos="432"/>
          <w:tab w:val="left" w:pos="708"/>
        </w:tabs>
        <w:spacing w:after="0"/>
        <w:ind w:left="5103" w:firstLine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к аукционной документации</w:t>
      </w:r>
    </w:p>
    <w:p w:rsidR="007620A8" w:rsidRDefault="007620A8" w:rsidP="007620A8">
      <w:pPr>
        <w:pStyle w:val="2"/>
        <w:tabs>
          <w:tab w:val="clear" w:pos="432"/>
          <w:tab w:val="left" w:pos="708"/>
        </w:tabs>
        <w:spacing w:after="0"/>
        <w:ind w:left="5103" w:firstLine="0"/>
        <w:rPr>
          <w:bCs/>
          <w:caps/>
          <w:sz w:val="28"/>
          <w:szCs w:val="28"/>
        </w:rPr>
      </w:pPr>
    </w:p>
    <w:p w:rsidR="007620A8" w:rsidRDefault="007620A8" w:rsidP="007620A8">
      <w:pPr>
        <w:jc w:val="both"/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>Аукционной комиссии</w:t>
      </w:r>
    </w:p>
    <w:p w:rsidR="007620A8" w:rsidRDefault="007620A8" w:rsidP="007620A8">
      <w:pPr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«___»__________ 20__ г.</w:t>
      </w:r>
    </w:p>
    <w:p w:rsidR="007620A8" w:rsidRDefault="007620A8" w:rsidP="007620A8">
      <w:pPr>
        <w:spacing w:after="240"/>
        <w:jc w:val="both"/>
        <w:rPr>
          <w:bCs/>
          <w:sz w:val="28"/>
          <w:szCs w:val="28"/>
        </w:rPr>
      </w:pPr>
    </w:p>
    <w:p w:rsidR="007620A8" w:rsidRDefault="007620A8" w:rsidP="007620A8">
      <w:pPr>
        <w:spacing w:after="240"/>
        <w:jc w:val="both"/>
        <w:rPr>
          <w:b/>
          <w:bCs/>
          <w:caps/>
          <w:sz w:val="28"/>
          <w:szCs w:val="28"/>
        </w:rPr>
      </w:pPr>
    </w:p>
    <w:p w:rsidR="007620A8" w:rsidRDefault="007620A8" w:rsidP="007620A8">
      <w:pPr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Запрос</w:t>
      </w:r>
    </w:p>
    <w:p w:rsidR="007620A8" w:rsidRDefault="007620A8" w:rsidP="007620A8">
      <w:pPr>
        <w:spacing w:after="240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на разъяснение положений аукционной документации</w:t>
      </w:r>
    </w:p>
    <w:p w:rsidR="007620A8" w:rsidRDefault="007620A8" w:rsidP="007620A8">
      <w:pPr>
        <w:spacing w:after="240"/>
        <w:jc w:val="both"/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>Прошу Вас разъяснить следующие положения аукционной документации: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4291"/>
        <w:gridCol w:w="4667"/>
      </w:tblGrid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A8" w:rsidRDefault="007620A8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A8" w:rsidRDefault="007620A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или пункт аукционной документации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A8" w:rsidRDefault="007620A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Содержание запроса</w:t>
            </w: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  <w:tr w:rsidR="007620A8" w:rsidTr="007620A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8" w:rsidRDefault="007620A8">
            <w:pPr>
              <w:jc w:val="both"/>
              <w:rPr>
                <w:b/>
                <w:bCs/>
                <w:caps/>
              </w:rPr>
            </w:pPr>
          </w:p>
        </w:tc>
      </w:tr>
    </w:tbl>
    <w:p w:rsidR="007620A8" w:rsidRDefault="007620A8" w:rsidP="007620A8">
      <w:pPr>
        <w:jc w:val="both"/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>Ответ на запрос прошу направить по адресу:</w:t>
      </w:r>
    </w:p>
    <w:p w:rsidR="007620A8" w:rsidRDefault="007620A8" w:rsidP="007620A8">
      <w:pPr>
        <w:jc w:val="both"/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620A8" w:rsidRDefault="007620A8" w:rsidP="007620A8">
      <w:pPr>
        <w:jc w:val="both"/>
        <w:rPr>
          <w:b/>
          <w:bCs/>
          <w:caps/>
          <w:sz w:val="28"/>
          <w:szCs w:val="28"/>
        </w:rPr>
      </w:pPr>
    </w:p>
    <w:p w:rsidR="007620A8" w:rsidRDefault="007620A8" w:rsidP="007620A8">
      <w:pPr>
        <w:jc w:val="both"/>
        <w:rPr>
          <w:b/>
          <w:bCs/>
          <w:caps/>
        </w:rPr>
      </w:pPr>
      <w:r>
        <w:rPr>
          <w:bCs/>
        </w:rPr>
        <w:lastRenderedPageBreak/>
        <w:t>___________________                 __________________________________________________</w:t>
      </w:r>
    </w:p>
    <w:p w:rsidR="007620A8" w:rsidRDefault="007620A8" w:rsidP="007620A8">
      <w:pPr>
        <w:jc w:val="both"/>
        <w:rPr>
          <w:b/>
          <w:bCs/>
          <w:caps/>
          <w:sz w:val="20"/>
        </w:rPr>
      </w:pPr>
      <w:r>
        <w:rPr>
          <w:bCs/>
        </w:rPr>
        <w:t xml:space="preserve">   </w:t>
      </w:r>
      <w:r>
        <w:rPr>
          <w:bCs/>
          <w:sz w:val="20"/>
        </w:rPr>
        <w:t xml:space="preserve">          (подпись)                                                                      (ФИО </w:t>
      </w:r>
      <w:proofErr w:type="gramStart"/>
      <w:r>
        <w:rPr>
          <w:bCs/>
          <w:sz w:val="20"/>
        </w:rPr>
        <w:t>подписавшего</w:t>
      </w:r>
      <w:proofErr w:type="gramEnd"/>
      <w:r>
        <w:rPr>
          <w:bCs/>
          <w:sz w:val="20"/>
        </w:rPr>
        <w:t>, должность)</w:t>
      </w:r>
    </w:p>
    <w:p w:rsidR="007620A8" w:rsidRDefault="007620A8" w:rsidP="007620A8">
      <w:pPr>
        <w:jc w:val="both"/>
        <w:rPr>
          <w:b/>
          <w:bCs/>
          <w:caps/>
          <w:sz w:val="20"/>
        </w:rPr>
      </w:pPr>
    </w:p>
    <w:p w:rsidR="007620A8" w:rsidRDefault="007620A8" w:rsidP="007620A8">
      <w:pPr>
        <w:pStyle w:val="a4"/>
        <w:tabs>
          <w:tab w:val="clear" w:pos="4153"/>
          <w:tab w:val="left" w:pos="6804"/>
        </w:tabs>
        <w:ind w:firstLine="567"/>
        <w:jc w:val="both"/>
        <w:rPr>
          <w:bCs/>
          <w:szCs w:val="24"/>
        </w:rPr>
      </w:pPr>
      <w:r>
        <w:rPr>
          <w:bCs/>
          <w:szCs w:val="24"/>
        </w:rPr>
        <w:t>м.п.</w:t>
      </w:r>
      <w:bookmarkEnd w:id="0"/>
    </w:p>
    <w:p w:rsidR="007F398E" w:rsidRDefault="007F398E"/>
    <w:sectPr w:rsidR="007F398E" w:rsidSect="0037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20A8"/>
    <w:rsid w:val="000D1AF8"/>
    <w:rsid w:val="001F2C71"/>
    <w:rsid w:val="0037047D"/>
    <w:rsid w:val="00457CE6"/>
    <w:rsid w:val="00544A7F"/>
    <w:rsid w:val="00574597"/>
    <w:rsid w:val="00592E97"/>
    <w:rsid w:val="00653409"/>
    <w:rsid w:val="006908D3"/>
    <w:rsid w:val="007620A8"/>
    <w:rsid w:val="007F398E"/>
    <w:rsid w:val="008214BE"/>
    <w:rsid w:val="00BA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20A8"/>
    <w:rPr>
      <w:b/>
      <w:bCs w:val="0"/>
      <w:color w:val="0000FF"/>
      <w:sz w:val="24"/>
      <w:szCs w:val="24"/>
      <w:u w:val="single"/>
      <w:lang w:val="ru-RU" w:eastAsia="en-US" w:bidi="ar-SA"/>
    </w:rPr>
  </w:style>
  <w:style w:type="paragraph" w:styleId="a4">
    <w:name w:val="header"/>
    <w:basedOn w:val="a"/>
    <w:link w:val="a5"/>
    <w:semiHidden/>
    <w:unhideWhenUsed/>
    <w:rsid w:val="007620A8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7620A8"/>
    <w:rPr>
      <w:szCs w:val="20"/>
    </w:rPr>
  </w:style>
  <w:style w:type="paragraph" w:styleId="a6">
    <w:name w:val="Body Text"/>
    <w:basedOn w:val="a"/>
    <w:link w:val="a7"/>
    <w:semiHidden/>
    <w:unhideWhenUsed/>
    <w:rsid w:val="007620A8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7620A8"/>
  </w:style>
  <w:style w:type="paragraph" w:styleId="a8">
    <w:name w:val="No Spacing"/>
    <w:uiPriority w:val="1"/>
    <w:qFormat/>
    <w:rsid w:val="007620A8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620A8"/>
    <w:rPr>
      <w:rFonts w:ascii="Calibri" w:hAnsi="Calibri" w:cs="Calibri"/>
      <w:sz w:val="22"/>
    </w:rPr>
  </w:style>
  <w:style w:type="paragraph" w:customStyle="1" w:styleId="ConsPlusNormal0">
    <w:name w:val="ConsPlusNormal"/>
    <w:link w:val="ConsPlusNormal"/>
    <w:rsid w:val="007620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7620A8"/>
    <w:pPr>
      <w:autoSpaceDE w:val="0"/>
      <w:autoSpaceDN w:val="0"/>
      <w:adjustRightInd w:val="0"/>
    </w:pPr>
    <w:rPr>
      <w:color w:val="000000"/>
    </w:rPr>
  </w:style>
  <w:style w:type="character" w:customStyle="1" w:styleId="3">
    <w:name w:val="Заголовок №3_"/>
    <w:link w:val="30"/>
    <w:uiPriority w:val="99"/>
    <w:locked/>
    <w:rsid w:val="007620A8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620A8"/>
    <w:pPr>
      <w:widowControl w:val="0"/>
      <w:shd w:val="clear" w:color="auto" w:fill="FFFFFF"/>
      <w:spacing w:after="360" w:line="240" w:lineRule="atLeast"/>
      <w:jc w:val="both"/>
      <w:outlineLvl w:val="2"/>
    </w:pPr>
    <w:rPr>
      <w:b/>
      <w:bCs/>
    </w:rPr>
  </w:style>
  <w:style w:type="paragraph" w:customStyle="1" w:styleId="2">
    <w:name w:val="Стиль2"/>
    <w:basedOn w:val="20"/>
    <w:rsid w:val="007620A8"/>
    <w:pPr>
      <w:keepNext/>
      <w:keepLines/>
      <w:widowControl w:val="0"/>
      <w:numPr>
        <w:numId w:val="0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labelbodytext11">
    <w:name w:val="label_body_text_11"/>
    <w:basedOn w:val="a0"/>
    <w:rsid w:val="007620A8"/>
    <w:rPr>
      <w:color w:val="0000FF"/>
      <w:sz w:val="20"/>
      <w:szCs w:val="20"/>
    </w:rPr>
  </w:style>
  <w:style w:type="paragraph" w:styleId="20">
    <w:name w:val="List Number 2"/>
    <w:basedOn w:val="a"/>
    <w:uiPriority w:val="99"/>
    <w:semiHidden/>
    <w:unhideWhenUsed/>
    <w:rsid w:val="007620A8"/>
    <w:pPr>
      <w:numPr>
        <w:numId w:val="1"/>
      </w:numPr>
      <w:tabs>
        <w:tab w:val="clear" w:pos="360"/>
        <w:tab w:val="num" w:pos="643"/>
      </w:tabs>
      <w:ind w:left="643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12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11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5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10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4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9" Type="http://schemas.openxmlformats.org/officeDocument/2006/relationships/hyperlink" Target="mailto:admsvec@kiro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3768</Words>
  <Characters>21483</Characters>
  <Application>Microsoft Office Word</Application>
  <DocSecurity>0</DocSecurity>
  <Lines>179</Lines>
  <Paragraphs>50</Paragraphs>
  <ScaleCrop>false</ScaleCrop>
  <Company>Microsoft</Company>
  <LinksUpToDate>false</LinksUpToDate>
  <CharactersWithSpaces>25201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dcterms:created xsi:type="dcterms:W3CDTF">2025-06-26T13:25:00Z</dcterms:created>
  <dcterms:modified xsi:type="dcterms:W3CDTF">2025-06-26T13:26:00Z</dcterms:modified>
</cp:coreProperties>
</file>